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DA16" w14:textId="77777777" w:rsidR="00552A07" w:rsidRPr="000100BB" w:rsidRDefault="00552A07">
      <w:r w:rsidRPr="000100BB">
        <w:t xml:space="preserve">Tower Hamlets Community Pharmacy </w:t>
      </w:r>
    </w:p>
    <w:p w14:paraId="2F232AD1" w14:textId="77777777" w:rsidR="00BB121A" w:rsidRPr="000100BB" w:rsidRDefault="00552A07">
      <w:r w:rsidRPr="000100BB">
        <w:t>Enhanced Needle Exchange and Harm Reduction Service</w:t>
      </w:r>
    </w:p>
    <w:p w14:paraId="672A6659" w14:textId="77777777" w:rsidR="00552A07" w:rsidRPr="000100BB" w:rsidRDefault="00552A07"/>
    <w:p w14:paraId="42163C54" w14:textId="3692F7F0" w:rsidR="00552A07" w:rsidRPr="000100BB" w:rsidRDefault="00552A07">
      <w:r w:rsidRPr="000100BB">
        <w:t>Service Specification</w:t>
      </w:r>
    </w:p>
    <w:p w14:paraId="0A37501D" w14:textId="77777777" w:rsidR="00552A07" w:rsidRPr="000100BB" w:rsidRDefault="00552A07"/>
    <w:p w14:paraId="3E7A9F1C" w14:textId="77777777" w:rsidR="00552A07" w:rsidRPr="000100BB" w:rsidRDefault="00552A07" w:rsidP="00552A07">
      <w:pPr>
        <w:pStyle w:val="NormalWeb"/>
        <w:numPr>
          <w:ilvl w:val="0"/>
          <w:numId w:val="2"/>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Introduction</w:t>
      </w:r>
    </w:p>
    <w:p w14:paraId="634F0EB8" w14:textId="77777777" w:rsidR="00552A07" w:rsidRPr="000100BB" w:rsidRDefault="00552A07" w:rsidP="00552A07">
      <w:pPr>
        <w:pStyle w:val="NormalWeb"/>
        <w:numPr>
          <w:ilvl w:val="1"/>
          <w:numId w:val="2"/>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stheme="minorHAnsi"/>
          <w:color w:val="000000" w:themeColor="text1"/>
          <w:sz w:val="22"/>
          <w:szCs w:val="22"/>
        </w:rPr>
        <w:t>The</w:t>
      </w:r>
      <w:r w:rsidR="00FA067B" w:rsidRPr="000100BB">
        <w:rPr>
          <w:rFonts w:asciiTheme="minorHAnsi" w:hAnsiTheme="minorHAnsi" w:cstheme="minorHAnsi"/>
          <w:color w:val="000000" w:themeColor="text1"/>
          <w:sz w:val="22"/>
          <w:szCs w:val="22"/>
        </w:rPr>
        <w:t xml:space="preserve"> National</w:t>
      </w:r>
      <w:r w:rsidRPr="000100BB">
        <w:rPr>
          <w:rFonts w:asciiTheme="minorHAnsi" w:hAnsiTheme="minorHAnsi" w:cstheme="minorHAnsi"/>
          <w:color w:val="000000" w:themeColor="text1"/>
          <w:sz w:val="22"/>
          <w:szCs w:val="22"/>
        </w:rPr>
        <w:t xml:space="preserve"> </w:t>
      </w:r>
      <w:r w:rsidR="00FA067B" w:rsidRPr="000100BB">
        <w:rPr>
          <w:rFonts w:asciiTheme="minorHAnsi" w:hAnsiTheme="minorHAnsi" w:cstheme="minorHAnsi"/>
          <w:i/>
          <w:color w:val="000000" w:themeColor="text1"/>
          <w:sz w:val="22"/>
          <w:szCs w:val="22"/>
        </w:rPr>
        <w:t>Drug Strategy (2017</w:t>
      </w:r>
      <w:r w:rsidRPr="000100BB">
        <w:rPr>
          <w:rFonts w:asciiTheme="minorHAnsi" w:hAnsiTheme="minorHAnsi" w:cstheme="minorHAnsi"/>
          <w:i/>
          <w:color w:val="000000" w:themeColor="text1"/>
          <w:sz w:val="22"/>
          <w:szCs w:val="22"/>
        </w:rPr>
        <w:t>)</w:t>
      </w:r>
      <w:r w:rsidRPr="000100BB">
        <w:rPr>
          <w:rFonts w:asciiTheme="minorHAnsi" w:hAnsiTheme="minorHAnsi" w:cstheme="minorHAnsi"/>
          <w:color w:val="000000" w:themeColor="text1"/>
          <w:sz w:val="22"/>
          <w:szCs w:val="22"/>
        </w:rPr>
        <w:t xml:space="preserve"> is a cross-Government programme of policies and interventions that focus on drugs that cause the most harm. The London Borough of Tower Hamlets’ Drug and Alcohol Action Team (DAAT) is responsible for implementing the strategy at a local level by commissioning services that provide a range of drug and alcohol treatment options to meet the needs of the local population. The strategy </w:t>
      </w:r>
      <w:r w:rsidRPr="000100BB">
        <w:rPr>
          <w:rFonts w:asciiTheme="minorHAnsi" w:hAnsiTheme="minorHAnsi" w:cstheme="minorHAnsi"/>
          <w:sz w:val="22"/>
          <w:szCs w:val="22"/>
        </w:rPr>
        <w:t xml:space="preserve">has placed an increased emphasis on the delivery of interventions and packages of support that enable substance misusers to achieve sustained recovery and reintegration.  </w:t>
      </w:r>
    </w:p>
    <w:p w14:paraId="2C52D704" w14:textId="77777777" w:rsidR="00FA067B" w:rsidRPr="000100BB" w:rsidRDefault="00FA067B" w:rsidP="00552A07">
      <w:pPr>
        <w:pStyle w:val="NormalWeb"/>
        <w:numPr>
          <w:ilvl w:val="1"/>
          <w:numId w:val="2"/>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stheme="minorHAnsi"/>
          <w:sz w:val="22"/>
          <w:szCs w:val="22"/>
        </w:rPr>
        <w:t>The 2017 Strategy emphasises the need to implement a balanced, coordinated partnership approach to reducing harms caused by drug use, including early intervention and providing evidence-based treatment options that can be tailored to individual needs.</w:t>
      </w:r>
    </w:p>
    <w:p w14:paraId="184BCEF1" w14:textId="77777777" w:rsidR="00D814E0" w:rsidRPr="000100BB" w:rsidRDefault="00552A07" w:rsidP="00552A07">
      <w:pPr>
        <w:pStyle w:val="NormalWeb"/>
        <w:numPr>
          <w:ilvl w:val="1"/>
          <w:numId w:val="2"/>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stheme="minorHAnsi"/>
          <w:i/>
          <w:sz w:val="22"/>
          <w:szCs w:val="22"/>
        </w:rPr>
        <w:t>The Tower Hamlets</w:t>
      </w:r>
      <w:r w:rsidR="00A87D8A" w:rsidRPr="000100BB">
        <w:rPr>
          <w:rFonts w:asciiTheme="minorHAnsi" w:hAnsiTheme="minorHAnsi" w:cstheme="minorHAnsi"/>
          <w:i/>
          <w:sz w:val="22"/>
          <w:szCs w:val="22"/>
        </w:rPr>
        <w:t xml:space="preserve"> Substance Misuse Strategy 2016-2019 </w:t>
      </w:r>
      <w:r w:rsidR="0060333C" w:rsidRPr="000100BB">
        <w:rPr>
          <w:rFonts w:asciiTheme="minorHAnsi" w:hAnsiTheme="minorHAnsi" w:cstheme="minorHAnsi"/>
          <w:sz w:val="22"/>
          <w:szCs w:val="22"/>
        </w:rPr>
        <w:t>outlines Tower Hamlets Partnership</w:t>
      </w:r>
      <w:r w:rsidR="00925F39" w:rsidRPr="000100BB">
        <w:rPr>
          <w:rFonts w:asciiTheme="minorHAnsi" w:hAnsiTheme="minorHAnsi" w:cstheme="minorHAnsi"/>
          <w:sz w:val="22"/>
          <w:szCs w:val="22"/>
        </w:rPr>
        <w:t>’s approach to tackling the problems associated with drug and alcohol misuse in the borough</w:t>
      </w:r>
      <w:r w:rsidR="00E115C6" w:rsidRPr="000100BB">
        <w:rPr>
          <w:rFonts w:asciiTheme="minorHAnsi" w:hAnsiTheme="minorHAnsi" w:cstheme="minorHAnsi"/>
          <w:sz w:val="22"/>
          <w:szCs w:val="22"/>
        </w:rPr>
        <w:t>; highlighting</w:t>
      </w:r>
      <w:r w:rsidR="00CF407B" w:rsidRPr="000100BB">
        <w:rPr>
          <w:rFonts w:asciiTheme="minorHAnsi" w:hAnsiTheme="minorHAnsi" w:cstheme="minorHAnsi"/>
          <w:sz w:val="22"/>
          <w:szCs w:val="22"/>
        </w:rPr>
        <w:t xml:space="preserve"> the Partnership’s vision to support individuals and families to maximise their health and wellbeing whilst reducin</w:t>
      </w:r>
      <w:r w:rsidR="00E115C6" w:rsidRPr="000100BB">
        <w:rPr>
          <w:rFonts w:asciiTheme="minorHAnsi" w:hAnsiTheme="minorHAnsi" w:cstheme="minorHAnsi"/>
          <w:sz w:val="22"/>
          <w:szCs w:val="22"/>
        </w:rPr>
        <w:t>g the negative impact of drug and alcohol use, strengthening protective factors for those at risk and empowering those are addicted or dependent to recover whilst reducing har</w:t>
      </w:r>
      <w:r w:rsidR="001D21C6" w:rsidRPr="000100BB">
        <w:rPr>
          <w:rFonts w:asciiTheme="minorHAnsi" w:hAnsiTheme="minorHAnsi" w:cstheme="minorHAnsi"/>
          <w:sz w:val="22"/>
          <w:szCs w:val="22"/>
        </w:rPr>
        <w:t>m</w:t>
      </w:r>
      <w:r w:rsidR="00E115C6" w:rsidRPr="000100BB">
        <w:rPr>
          <w:rFonts w:asciiTheme="minorHAnsi" w:hAnsiTheme="minorHAnsi" w:cstheme="minorHAnsi"/>
          <w:sz w:val="22"/>
          <w:szCs w:val="22"/>
        </w:rPr>
        <w:t xml:space="preserve"> from continued use.</w:t>
      </w:r>
    </w:p>
    <w:p w14:paraId="289EE87A" w14:textId="77777777" w:rsidR="00552A07" w:rsidRPr="000100BB" w:rsidRDefault="00552A07" w:rsidP="00E115C6">
      <w:pPr>
        <w:pStyle w:val="NormalWeb"/>
        <w:numPr>
          <w:ilvl w:val="1"/>
          <w:numId w:val="2"/>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stheme="minorHAnsi"/>
          <w:sz w:val="22"/>
          <w:szCs w:val="22"/>
        </w:rPr>
        <w:t xml:space="preserve"> Our Annual Needs Assessment which supports the boroughs Substance Misuse Strategy allows us to regularly evaluate service delivery and outcomes for our Service Users, address areas of unmet need and refocus local priorities. Treatment service specifications </w:t>
      </w:r>
      <w:r w:rsidR="00E115C6" w:rsidRPr="000100BB">
        <w:rPr>
          <w:rFonts w:asciiTheme="minorHAnsi" w:hAnsiTheme="minorHAnsi" w:cstheme="minorHAnsi"/>
          <w:sz w:val="22"/>
          <w:szCs w:val="22"/>
        </w:rPr>
        <w:t>and key indicators are reviewed</w:t>
      </w:r>
      <w:r w:rsidRPr="000100BB">
        <w:rPr>
          <w:rFonts w:asciiTheme="minorHAnsi" w:hAnsiTheme="minorHAnsi" w:cstheme="minorHAnsi"/>
          <w:sz w:val="22"/>
          <w:szCs w:val="22"/>
        </w:rPr>
        <w:t xml:space="preserve"> on the basis of the annual needs assessment findings to ensure an appropriate response by commissioned services in addressing areas of identified need and service development.</w:t>
      </w:r>
    </w:p>
    <w:p w14:paraId="416BD1A3" w14:textId="18F4CE34" w:rsidR="00746DF9" w:rsidRPr="000100BB" w:rsidRDefault="00746DF9" w:rsidP="5A84454D">
      <w:pPr>
        <w:pStyle w:val="NormalWeb"/>
        <w:numPr>
          <w:ilvl w:val="1"/>
          <w:numId w:val="2"/>
        </w:numPr>
        <w:shd w:val="clear" w:color="auto" w:fill="F6F6F6"/>
        <w:spacing w:line="360" w:lineRule="atLeast"/>
        <w:rPr>
          <w:rFonts w:asciiTheme="minorHAnsi" w:hAnsiTheme="minorHAnsi"/>
          <w:color w:val="000000" w:themeColor="text1"/>
          <w:sz w:val="22"/>
          <w:szCs w:val="22"/>
        </w:rPr>
      </w:pPr>
      <w:r w:rsidRPr="5A84454D">
        <w:rPr>
          <w:rFonts w:asciiTheme="minorHAnsi" w:hAnsiTheme="minorHAnsi"/>
          <w:color w:val="000000" w:themeColor="text1"/>
          <w:sz w:val="22"/>
          <w:szCs w:val="22"/>
        </w:rPr>
        <w:t>NICE Guidance (PH52) Published in March 201</w:t>
      </w:r>
      <w:r w:rsidR="6019C021" w:rsidRPr="5A84454D">
        <w:rPr>
          <w:rFonts w:asciiTheme="minorHAnsi" w:hAnsiTheme="minorHAnsi"/>
          <w:color w:val="000000" w:themeColor="text1"/>
          <w:sz w:val="22"/>
          <w:szCs w:val="22"/>
        </w:rPr>
        <w:t>4</w:t>
      </w:r>
      <w:r w:rsidR="416F7F7C" w:rsidRPr="5A84454D">
        <w:rPr>
          <w:rFonts w:asciiTheme="minorHAnsi" w:hAnsiTheme="minorHAnsi"/>
          <w:color w:val="000000" w:themeColor="text1"/>
          <w:sz w:val="22"/>
          <w:szCs w:val="22"/>
        </w:rPr>
        <w:t xml:space="preserve"> (reviewed as fit for</w:t>
      </w:r>
      <w:r w:rsidR="62BA29A5" w:rsidRPr="5A84454D">
        <w:rPr>
          <w:rFonts w:asciiTheme="minorHAnsi" w:hAnsiTheme="minorHAnsi"/>
          <w:color w:val="000000" w:themeColor="text1"/>
          <w:sz w:val="22"/>
          <w:szCs w:val="22"/>
        </w:rPr>
        <w:t xml:space="preserve"> purpose</w:t>
      </w:r>
      <w:r w:rsidR="416F7F7C" w:rsidRPr="5A84454D">
        <w:rPr>
          <w:rFonts w:asciiTheme="minorHAnsi" w:hAnsiTheme="minorHAnsi"/>
          <w:color w:val="000000" w:themeColor="text1"/>
          <w:sz w:val="22"/>
          <w:szCs w:val="22"/>
        </w:rPr>
        <w:t xml:space="preserve"> in 2019)</w:t>
      </w:r>
      <w:r w:rsidRPr="5A84454D">
        <w:rPr>
          <w:rFonts w:asciiTheme="minorHAnsi" w:hAnsiTheme="minorHAnsi"/>
          <w:color w:val="000000" w:themeColor="text1"/>
          <w:sz w:val="22"/>
          <w:szCs w:val="22"/>
        </w:rPr>
        <w:t xml:space="preserve"> outlines the main aim of needle and syringe programmes as “to reduce the transmission of blood-borne viruses and other infections caused by sharing injecting equipment, such as HIV, hepatitis B and C. </w:t>
      </w:r>
      <w:r w:rsidRPr="5A84454D">
        <w:rPr>
          <w:rFonts w:asciiTheme="minorHAnsi" w:hAnsiTheme="minorHAnsi" w:cs="Arial"/>
          <w:color w:val="000000" w:themeColor="text1"/>
          <w:sz w:val="22"/>
          <w:szCs w:val="22"/>
        </w:rPr>
        <w:t>In turn, this will reduce the prevalence of blood-borne viruses and bacterial infections, so benefiting wider society. Many needle and syringe programmes also aim to reduce the other harms caused by drug use and include:</w:t>
      </w:r>
    </w:p>
    <w:p w14:paraId="08ED62D7" w14:textId="77777777" w:rsidR="00746DF9" w:rsidRPr="000100BB" w:rsidRDefault="00746DF9" w:rsidP="00746DF9">
      <w:pPr>
        <w:numPr>
          <w:ilvl w:val="0"/>
          <w:numId w:val="1"/>
        </w:numPr>
        <w:shd w:val="clear" w:color="auto" w:fill="F6F6F6"/>
        <w:spacing w:before="100" w:beforeAutospacing="1" w:after="100" w:afterAutospacing="1" w:line="360" w:lineRule="atLeast"/>
        <w:ind w:left="1134" w:hanging="425"/>
        <w:rPr>
          <w:rFonts w:eastAsia="Times New Roman" w:cs="Arial"/>
          <w:color w:val="000000" w:themeColor="text1"/>
          <w:lang w:eastAsia="en-GB"/>
        </w:rPr>
      </w:pPr>
      <w:r w:rsidRPr="000100BB">
        <w:rPr>
          <w:rFonts w:eastAsia="Times New Roman" w:cs="Arial"/>
          <w:color w:val="000000" w:themeColor="text1"/>
          <w:lang w:eastAsia="en-GB"/>
        </w:rPr>
        <w:lastRenderedPageBreak/>
        <w:t>Advice on minimising the harms caused by drugs.</w:t>
      </w:r>
    </w:p>
    <w:p w14:paraId="62FE502E" w14:textId="77777777" w:rsidR="00746DF9" w:rsidRPr="000100BB" w:rsidRDefault="00746DF9" w:rsidP="00746DF9">
      <w:pPr>
        <w:numPr>
          <w:ilvl w:val="0"/>
          <w:numId w:val="1"/>
        </w:numPr>
        <w:shd w:val="clear" w:color="auto" w:fill="F6F6F6"/>
        <w:spacing w:before="100" w:beforeAutospacing="1" w:after="100" w:afterAutospacing="1" w:line="360" w:lineRule="atLeast"/>
        <w:ind w:left="1134" w:hanging="425"/>
        <w:rPr>
          <w:rFonts w:eastAsia="Times New Roman" w:cs="Arial"/>
          <w:color w:val="000000" w:themeColor="text1"/>
          <w:lang w:eastAsia="en-GB"/>
        </w:rPr>
      </w:pPr>
      <w:r w:rsidRPr="000100BB">
        <w:rPr>
          <w:rFonts w:eastAsia="Times New Roman" w:cs="Arial"/>
          <w:color w:val="000000" w:themeColor="text1"/>
          <w:lang w:eastAsia="en-GB"/>
        </w:rPr>
        <w:t>Help to stop using drugs by providing access to drug treatment (for example, opioid substitution therapy).</w:t>
      </w:r>
    </w:p>
    <w:p w14:paraId="421BF830" w14:textId="77777777" w:rsidR="00746DF9" w:rsidRPr="000100BB" w:rsidRDefault="00746DF9" w:rsidP="5A84454D">
      <w:pPr>
        <w:pStyle w:val="ListParagraph"/>
        <w:numPr>
          <w:ilvl w:val="0"/>
          <w:numId w:val="1"/>
        </w:numPr>
        <w:shd w:val="clear" w:color="auto" w:fill="F6F6F6"/>
        <w:spacing w:before="100" w:beforeAutospacing="1" w:after="100" w:afterAutospacing="1" w:line="360" w:lineRule="atLeast"/>
        <w:rPr>
          <w:rFonts w:eastAsiaTheme="minorEastAsia"/>
          <w:color w:val="000000" w:themeColor="text1"/>
          <w:lang w:eastAsia="en-GB"/>
        </w:rPr>
      </w:pPr>
      <w:r w:rsidRPr="5A84454D">
        <w:rPr>
          <w:rFonts w:eastAsia="Times New Roman" w:cs="Arial"/>
          <w:color w:val="000000" w:themeColor="text1"/>
          <w:lang w:eastAsia="en-GB"/>
        </w:rPr>
        <w:t>Access to other health and welfare services.”</w:t>
      </w:r>
    </w:p>
    <w:p w14:paraId="5DAB6C7B" w14:textId="77777777" w:rsidR="00552A07" w:rsidRPr="000100BB" w:rsidRDefault="00552A07" w:rsidP="00552A07">
      <w:pPr>
        <w:pStyle w:val="NormalWeb"/>
        <w:shd w:val="clear" w:color="auto" w:fill="F6F6F6"/>
        <w:spacing w:line="360" w:lineRule="atLeast"/>
        <w:ind w:left="792"/>
        <w:rPr>
          <w:rFonts w:asciiTheme="minorHAnsi" w:hAnsiTheme="minorHAnsi"/>
          <w:color w:val="000000" w:themeColor="text1"/>
          <w:sz w:val="22"/>
          <w:szCs w:val="22"/>
        </w:rPr>
      </w:pPr>
    </w:p>
    <w:p w14:paraId="679DFDBA" w14:textId="77777777" w:rsidR="00552A07" w:rsidRPr="000100BB" w:rsidRDefault="00552A07" w:rsidP="00552A07">
      <w:pPr>
        <w:pStyle w:val="NormalWeb"/>
        <w:numPr>
          <w:ilvl w:val="0"/>
          <w:numId w:val="2"/>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Local Context</w:t>
      </w:r>
    </w:p>
    <w:p w14:paraId="6C2B5BB1" w14:textId="77777777" w:rsidR="00552A07" w:rsidRPr="000100BB" w:rsidRDefault="00FA067B" w:rsidP="00552A07">
      <w:pPr>
        <w:pStyle w:val="NormalWeb"/>
        <w:numPr>
          <w:ilvl w:val="1"/>
          <w:numId w:val="2"/>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latest Prevalence Estimates published in 2017 (estimate refers to the period 2014/15) suggests that Tower Hamlets has a total of:</w:t>
      </w:r>
      <w:r w:rsidR="00552A07" w:rsidRPr="000100BB">
        <w:rPr>
          <w:rFonts w:asciiTheme="minorHAnsi" w:hAnsiTheme="minorHAnsi"/>
          <w:color w:val="000000" w:themeColor="text1"/>
          <w:sz w:val="22"/>
          <w:szCs w:val="22"/>
        </w:rPr>
        <w:t xml:space="preserve"> </w:t>
      </w:r>
    </w:p>
    <w:p w14:paraId="36C017F8" w14:textId="77777777" w:rsidR="00552A07" w:rsidRPr="000100BB" w:rsidRDefault="00FA067B" w:rsidP="3E803F66">
      <w:pPr>
        <w:pStyle w:val="NormalWeb"/>
        <w:numPr>
          <w:ilvl w:val="3"/>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t>2,798</w:t>
      </w:r>
      <w:r w:rsidR="00552A07" w:rsidRPr="3E803F66">
        <w:rPr>
          <w:rFonts w:asciiTheme="minorHAnsi" w:hAnsiTheme="minorHAnsi"/>
          <w:color w:val="000000" w:themeColor="text1"/>
          <w:sz w:val="22"/>
          <w:szCs w:val="22"/>
        </w:rPr>
        <w:t xml:space="preserve"> opiate and/ or crack users</w:t>
      </w:r>
    </w:p>
    <w:p w14:paraId="22B02990" w14:textId="77777777" w:rsidR="00552A07" w:rsidRPr="000100BB" w:rsidRDefault="00FA067B" w:rsidP="3E803F66">
      <w:pPr>
        <w:pStyle w:val="NormalWeb"/>
        <w:numPr>
          <w:ilvl w:val="3"/>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t>2,309</w:t>
      </w:r>
      <w:r w:rsidR="00552A07" w:rsidRPr="3E803F66">
        <w:rPr>
          <w:rFonts w:asciiTheme="minorHAnsi" w:hAnsiTheme="minorHAnsi"/>
          <w:color w:val="000000" w:themeColor="text1"/>
          <w:sz w:val="22"/>
          <w:szCs w:val="22"/>
        </w:rPr>
        <w:t xml:space="preserve"> opiate users</w:t>
      </w:r>
    </w:p>
    <w:p w14:paraId="470927DF" w14:textId="77777777" w:rsidR="00552A07" w:rsidRPr="000100BB" w:rsidRDefault="00FA067B" w:rsidP="3E803F66">
      <w:pPr>
        <w:pStyle w:val="NormalWeb"/>
        <w:numPr>
          <w:ilvl w:val="3"/>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t>2,543</w:t>
      </w:r>
      <w:r w:rsidR="00552A07" w:rsidRPr="3E803F66">
        <w:rPr>
          <w:rFonts w:asciiTheme="minorHAnsi" w:hAnsiTheme="minorHAnsi"/>
          <w:color w:val="000000" w:themeColor="text1"/>
          <w:sz w:val="22"/>
          <w:szCs w:val="22"/>
        </w:rPr>
        <w:t xml:space="preserve"> crack cocaine users</w:t>
      </w:r>
    </w:p>
    <w:p w14:paraId="45DFC69C" w14:textId="77777777" w:rsidR="00552A07" w:rsidRPr="000100BB" w:rsidRDefault="00D23C35" w:rsidP="3E803F66">
      <w:pPr>
        <w:pStyle w:val="NormalWeb"/>
        <w:numPr>
          <w:ilvl w:val="3"/>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t>Of</w:t>
      </w:r>
      <w:r w:rsidR="004310C6" w:rsidRPr="3E803F66">
        <w:rPr>
          <w:rFonts w:asciiTheme="minorHAnsi" w:hAnsiTheme="minorHAnsi"/>
          <w:color w:val="000000" w:themeColor="text1"/>
          <w:sz w:val="22"/>
          <w:szCs w:val="22"/>
        </w:rPr>
        <w:t xml:space="preserve"> clients starting treatment in 2016-17, 6.5% of clients reported currently injecting and 13.2% reported previously injecting.</w:t>
      </w:r>
    </w:p>
    <w:p w14:paraId="66BA9355" w14:textId="77777777" w:rsidR="00552A07" w:rsidRPr="000100BB" w:rsidRDefault="00FA067B" w:rsidP="3E803F66">
      <w:pPr>
        <w:pStyle w:val="NormalWeb"/>
        <w:numPr>
          <w:ilvl w:val="1"/>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t>Compared to 2011/12</w:t>
      </w:r>
      <w:r w:rsidR="00552A07" w:rsidRPr="3E803F66">
        <w:rPr>
          <w:rFonts w:asciiTheme="minorHAnsi" w:hAnsiTheme="minorHAnsi"/>
          <w:color w:val="000000" w:themeColor="text1"/>
          <w:sz w:val="22"/>
          <w:szCs w:val="22"/>
        </w:rPr>
        <w:t xml:space="preserve"> estimates, the most recent estimates</w:t>
      </w:r>
      <w:r w:rsidRPr="3E803F66">
        <w:rPr>
          <w:rFonts w:asciiTheme="minorHAnsi" w:hAnsiTheme="minorHAnsi"/>
          <w:color w:val="000000" w:themeColor="text1"/>
          <w:sz w:val="22"/>
          <w:szCs w:val="22"/>
        </w:rPr>
        <w:t xml:space="preserve"> suggest that there has been a fall of around 20% of total OCUs, from 3,561. </w:t>
      </w:r>
    </w:p>
    <w:p w14:paraId="46EC95E7" w14:textId="77777777" w:rsidR="00D97DCB" w:rsidRPr="000100BB" w:rsidRDefault="00D97DCB" w:rsidP="3E803F66">
      <w:pPr>
        <w:pStyle w:val="NormalWeb"/>
        <w:numPr>
          <w:ilvl w:val="1"/>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t xml:space="preserve">However, the number of OCUs in Tower Hamlets remains the highest in London. </w:t>
      </w:r>
    </w:p>
    <w:p w14:paraId="7B28999F" w14:textId="77777777" w:rsidR="00552A07" w:rsidRPr="000100BB" w:rsidRDefault="00552A07" w:rsidP="3E803F66">
      <w:pPr>
        <w:pStyle w:val="NormalWeb"/>
        <w:numPr>
          <w:ilvl w:val="1"/>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t xml:space="preserve">Drug treatment figures for </w:t>
      </w:r>
      <w:r w:rsidR="00D97DCB" w:rsidRPr="3E803F66">
        <w:rPr>
          <w:rFonts w:asciiTheme="minorHAnsi" w:hAnsiTheme="minorHAnsi"/>
          <w:color w:val="000000" w:themeColor="text1"/>
          <w:sz w:val="22"/>
          <w:szCs w:val="22"/>
        </w:rPr>
        <w:t>2016-17</w:t>
      </w:r>
      <w:r w:rsidRPr="3E803F66">
        <w:rPr>
          <w:rFonts w:asciiTheme="minorHAnsi" w:hAnsiTheme="minorHAnsi"/>
          <w:color w:val="000000" w:themeColor="text1"/>
          <w:sz w:val="22"/>
          <w:szCs w:val="22"/>
        </w:rPr>
        <w:t xml:space="preserve"> indicate that </w:t>
      </w:r>
      <w:r w:rsidR="00D97DCB" w:rsidRPr="3E803F66">
        <w:rPr>
          <w:rFonts w:asciiTheme="minorHAnsi" w:hAnsiTheme="minorHAnsi"/>
          <w:color w:val="000000" w:themeColor="text1"/>
          <w:sz w:val="22"/>
          <w:szCs w:val="22"/>
        </w:rPr>
        <w:t>1,332</w:t>
      </w:r>
      <w:r w:rsidRPr="3E803F66">
        <w:rPr>
          <w:rFonts w:asciiTheme="minorHAnsi" w:hAnsiTheme="minorHAnsi"/>
          <w:color w:val="000000" w:themeColor="text1"/>
          <w:sz w:val="22"/>
          <w:szCs w:val="22"/>
        </w:rPr>
        <w:t xml:space="preserve"> opiate drug users and </w:t>
      </w:r>
      <w:r w:rsidR="00D97DCB" w:rsidRPr="3E803F66">
        <w:rPr>
          <w:rFonts w:asciiTheme="minorHAnsi" w:hAnsiTheme="minorHAnsi"/>
          <w:color w:val="000000" w:themeColor="text1"/>
          <w:sz w:val="22"/>
          <w:szCs w:val="22"/>
        </w:rPr>
        <w:t>178</w:t>
      </w:r>
      <w:r w:rsidRPr="3E803F66">
        <w:rPr>
          <w:rFonts w:asciiTheme="minorHAnsi" w:hAnsiTheme="minorHAnsi"/>
          <w:color w:val="000000" w:themeColor="text1"/>
          <w:sz w:val="22"/>
          <w:szCs w:val="22"/>
        </w:rPr>
        <w:t xml:space="preserve"> non-opiate drug users are engaged in treatment.</w:t>
      </w:r>
    </w:p>
    <w:p w14:paraId="3998DB93" w14:textId="77777777" w:rsidR="004310C6" w:rsidRPr="000100BB" w:rsidRDefault="004310C6" w:rsidP="3E803F66">
      <w:pPr>
        <w:pStyle w:val="NormalWeb"/>
        <w:numPr>
          <w:ilvl w:val="1"/>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s="Tahoma"/>
          <w:sz w:val="22"/>
          <w:szCs w:val="22"/>
        </w:rPr>
        <w:t>Tower Hamlets has a prevalence rate of 13.7 per 1,000 population (OCUs); 10.87 for opiate users and 11.97 for crack users. Rates significantly higher compared to the London and National averages.</w:t>
      </w:r>
    </w:p>
    <w:p w14:paraId="7BB83F8A" w14:textId="77777777" w:rsidR="00D23C35" w:rsidRPr="000100BB" w:rsidRDefault="00D23C35" w:rsidP="00D23C35">
      <w:pPr>
        <w:widowControl w:val="0"/>
        <w:numPr>
          <w:ilvl w:val="1"/>
          <w:numId w:val="2"/>
        </w:numPr>
        <w:adjustRightInd w:val="0"/>
        <w:spacing w:after="0" w:line="360" w:lineRule="auto"/>
        <w:textAlignment w:val="baseline"/>
        <w:rPr>
          <w:rFonts w:cs="Tahoma"/>
        </w:rPr>
      </w:pPr>
      <w:r w:rsidRPr="3E803F66">
        <w:rPr>
          <w:rFonts w:cs="Tahoma"/>
        </w:rPr>
        <w:t xml:space="preserve">Opiate users make up 63% of the entire treatment population in the Borough. </w:t>
      </w:r>
    </w:p>
    <w:p w14:paraId="4CC013E2" w14:textId="21A0A77F" w:rsidR="00552A07" w:rsidRPr="000100BB" w:rsidRDefault="00552A07" w:rsidP="3E803F66">
      <w:pPr>
        <w:pStyle w:val="NormalWeb"/>
        <w:numPr>
          <w:ilvl w:val="1"/>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t xml:space="preserve">Needle exchange and harm reduction services are currently provided across </w:t>
      </w:r>
      <w:r w:rsidR="00D03ECD" w:rsidRPr="3E803F66">
        <w:rPr>
          <w:rFonts w:asciiTheme="minorHAnsi" w:hAnsiTheme="minorHAnsi"/>
          <w:color w:val="000000" w:themeColor="text1"/>
          <w:sz w:val="22"/>
          <w:szCs w:val="22"/>
        </w:rPr>
        <w:t>7</w:t>
      </w:r>
      <w:r w:rsidRPr="3E803F66">
        <w:rPr>
          <w:rFonts w:asciiTheme="minorHAnsi" w:hAnsiTheme="minorHAnsi"/>
          <w:color w:val="000000" w:themeColor="text1"/>
          <w:sz w:val="22"/>
          <w:szCs w:val="22"/>
        </w:rPr>
        <w:t xml:space="preserve"> sites, usually to Tower Hamlets residents.</w:t>
      </w:r>
    </w:p>
    <w:p w14:paraId="574670E0" w14:textId="77777777" w:rsidR="00552A07" w:rsidRPr="000100BB" w:rsidRDefault="00552A07" w:rsidP="3E803F66">
      <w:pPr>
        <w:pStyle w:val="NormalWeb"/>
        <w:numPr>
          <w:ilvl w:val="1"/>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t xml:space="preserve">Approximately 18% of all service users accessing needle exchange and harm reduction services within pharmacies are out of borough clients. </w:t>
      </w:r>
    </w:p>
    <w:p w14:paraId="50FD7D71" w14:textId="77777777" w:rsidR="00552A07" w:rsidRPr="000100BB" w:rsidRDefault="00552A07" w:rsidP="3E803F66">
      <w:pPr>
        <w:pStyle w:val="NormalWeb"/>
        <w:numPr>
          <w:ilvl w:val="1"/>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t>Tower Hamlets Drug &amp; Alcohol Action Team commissions a range of substance misuse treatment services</w:t>
      </w:r>
      <w:r w:rsidR="00BC732F" w:rsidRPr="3E803F66">
        <w:rPr>
          <w:rFonts w:asciiTheme="minorHAnsi" w:hAnsiTheme="minorHAnsi"/>
          <w:color w:val="000000" w:themeColor="text1"/>
          <w:sz w:val="22"/>
          <w:szCs w:val="22"/>
        </w:rPr>
        <w:t>; these include</w:t>
      </w:r>
      <w:r w:rsidRPr="3E803F66">
        <w:rPr>
          <w:rFonts w:asciiTheme="minorHAnsi" w:hAnsiTheme="minorHAnsi"/>
          <w:color w:val="000000" w:themeColor="text1"/>
          <w:sz w:val="22"/>
          <w:szCs w:val="22"/>
        </w:rPr>
        <w:t xml:space="preserve"> a mix of targeted and generic needle exchange and harm reduction provisions. These are delivered within a host of settings including substance misuse treatment services, community pharmacies and hostel settings.</w:t>
      </w:r>
    </w:p>
    <w:p w14:paraId="66EEF032" w14:textId="77777777" w:rsidR="00552A07" w:rsidRPr="000100BB" w:rsidRDefault="00552A07" w:rsidP="3E803F66">
      <w:pPr>
        <w:pStyle w:val="NormalWeb"/>
        <w:numPr>
          <w:ilvl w:val="1"/>
          <w:numId w:val="2"/>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lastRenderedPageBreak/>
        <w:t>Clients are also encouraged to return their used equipment for safe disposal, with the aim to reduce the risk of harm of the general public.</w:t>
      </w:r>
    </w:p>
    <w:p w14:paraId="02EB378F" w14:textId="77777777" w:rsidR="00552A07" w:rsidRPr="000100BB" w:rsidRDefault="00552A07"/>
    <w:p w14:paraId="129022BD" w14:textId="77777777" w:rsidR="00B934EC" w:rsidRPr="000100BB" w:rsidRDefault="00746DF9" w:rsidP="3E803F66">
      <w:pPr>
        <w:pStyle w:val="ListParagraph"/>
        <w:numPr>
          <w:ilvl w:val="0"/>
          <w:numId w:val="2"/>
        </w:numPr>
        <w:rPr>
          <w:b/>
          <w:bCs/>
        </w:rPr>
      </w:pPr>
      <w:r w:rsidRPr="3E803F66">
        <w:rPr>
          <w:b/>
          <w:bCs/>
        </w:rPr>
        <w:t xml:space="preserve">Aims </w:t>
      </w:r>
      <w:r w:rsidR="00B934EC" w:rsidRPr="3E803F66">
        <w:rPr>
          <w:b/>
          <w:bCs/>
        </w:rPr>
        <w:t>of the service</w:t>
      </w:r>
    </w:p>
    <w:p w14:paraId="27AF0CA1" w14:textId="77777777" w:rsidR="00B934EC" w:rsidRPr="000100BB" w:rsidRDefault="00B934EC" w:rsidP="3E803F66">
      <w:pPr>
        <w:pStyle w:val="NormalWeb"/>
        <w:numPr>
          <w:ilvl w:val="1"/>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color w:val="000000" w:themeColor="text1"/>
          <w:sz w:val="22"/>
          <w:szCs w:val="22"/>
        </w:rPr>
        <w:t>The needle exchange and harm reduction scheme aims to reduce the potential harms caused by high-risk injecting behaviour by delivering a consistent and comprehensive approach, focused on facilitating access to safe injecting equipment, providing harm reduction advice and signposting drug users to structured treatment in Tower Hamlets.</w:t>
      </w:r>
      <w:r w:rsidR="0068391D" w:rsidRPr="3E803F66">
        <w:rPr>
          <w:rFonts w:asciiTheme="minorHAnsi" w:hAnsiTheme="minorHAnsi"/>
          <w:color w:val="000000" w:themeColor="text1"/>
          <w:sz w:val="22"/>
          <w:szCs w:val="22"/>
        </w:rPr>
        <w:t xml:space="preserve"> This is delivered by</w:t>
      </w:r>
    </w:p>
    <w:p w14:paraId="02F127FF" w14:textId="77777777" w:rsidR="00CF0567" w:rsidRPr="000100BB" w:rsidRDefault="00CF0567" w:rsidP="0068391D">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Offering a confidential, non-judgemental service </w:t>
      </w:r>
    </w:p>
    <w:p w14:paraId="4D9AD69E" w14:textId="77777777" w:rsidR="0068391D" w:rsidRPr="000100BB" w:rsidRDefault="0068391D" w:rsidP="0068391D">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Providing access to safe injecting equipment to injecting drug users and </w:t>
      </w:r>
      <w:r w:rsidR="00BC732F" w:rsidRPr="000100BB">
        <w:rPr>
          <w:rFonts w:asciiTheme="minorHAnsi" w:hAnsiTheme="minorHAnsi"/>
          <w:color w:val="000000" w:themeColor="text1"/>
          <w:sz w:val="22"/>
          <w:szCs w:val="22"/>
        </w:rPr>
        <w:t>steroid users r</w:t>
      </w:r>
      <w:r w:rsidRPr="000100BB">
        <w:rPr>
          <w:rFonts w:asciiTheme="minorHAnsi" w:hAnsiTheme="minorHAnsi"/>
          <w:color w:val="000000" w:themeColor="text1"/>
          <w:sz w:val="22"/>
          <w:szCs w:val="22"/>
        </w:rPr>
        <w:t>esiding in Tower Hamlets</w:t>
      </w:r>
    </w:p>
    <w:p w14:paraId="444861D9" w14:textId="77777777" w:rsidR="0068391D" w:rsidRPr="000100BB" w:rsidRDefault="0068391D" w:rsidP="0068391D">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Facilitating the return and safe disposal of used injecting equipment </w:t>
      </w:r>
    </w:p>
    <w:p w14:paraId="4070CCB3" w14:textId="77777777" w:rsidR="004B4848" w:rsidRPr="000100BB" w:rsidRDefault="00356AA3" w:rsidP="004B4848">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Providing testing,</w:t>
      </w:r>
      <w:r w:rsidR="0068391D" w:rsidRPr="000100BB">
        <w:rPr>
          <w:rFonts w:asciiTheme="minorHAnsi" w:hAnsiTheme="minorHAnsi"/>
          <w:color w:val="000000" w:themeColor="text1"/>
          <w:sz w:val="22"/>
          <w:szCs w:val="22"/>
        </w:rPr>
        <w:t xml:space="preserve"> information and referrals to blood borne virus services in the aim of reducing the spread of blood borne viruses and HIV</w:t>
      </w:r>
    </w:p>
    <w:p w14:paraId="30136BB4" w14:textId="77777777" w:rsidR="0068391D" w:rsidRPr="000100BB" w:rsidRDefault="0068391D" w:rsidP="0068391D">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Providing essential harm reduction advice including information about overdose and the availability of naloxone</w:t>
      </w:r>
    </w:p>
    <w:p w14:paraId="14950816" w14:textId="77777777" w:rsidR="00CF0567" w:rsidRPr="000100BB" w:rsidRDefault="0068391D" w:rsidP="00CF0567">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Signpost</w:t>
      </w:r>
      <w:r w:rsidR="00BC732F" w:rsidRPr="000100BB">
        <w:rPr>
          <w:rFonts w:asciiTheme="minorHAnsi" w:hAnsiTheme="minorHAnsi"/>
          <w:color w:val="000000" w:themeColor="text1"/>
          <w:sz w:val="22"/>
          <w:szCs w:val="22"/>
        </w:rPr>
        <w:t>ing</w:t>
      </w:r>
      <w:r w:rsidRPr="000100BB">
        <w:rPr>
          <w:rFonts w:asciiTheme="minorHAnsi" w:hAnsiTheme="minorHAnsi"/>
          <w:color w:val="000000" w:themeColor="text1"/>
          <w:sz w:val="22"/>
          <w:szCs w:val="22"/>
        </w:rPr>
        <w:t xml:space="preserve"> and refer</w:t>
      </w:r>
      <w:r w:rsidR="00BC732F" w:rsidRPr="000100BB">
        <w:rPr>
          <w:rFonts w:asciiTheme="minorHAnsi" w:hAnsiTheme="minorHAnsi"/>
          <w:color w:val="000000" w:themeColor="text1"/>
          <w:sz w:val="22"/>
          <w:szCs w:val="22"/>
        </w:rPr>
        <w:t>ring</w:t>
      </w:r>
      <w:r w:rsidR="002D0CAC" w:rsidRPr="000100BB">
        <w:rPr>
          <w:rFonts w:asciiTheme="minorHAnsi" w:hAnsiTheme="minorHAnsi"/>
          <w:color w:val="000000" w:themeColor="text1"/>
          <w:sz w:val="22"/>
          <w:szCs w:val="22"/>
        </w:rPr>
        <w:t xml:space="preserve"> clients to Reset </w:t>
      </w:r>
      <w:r w:rsidR="00F6386F">
        <w:rPr>
          <w:rFonts w:asciiTheme="minorHAnsi" w:hAnsiTheme="minorHAnsi"/>
          <w:color w:val="000000" w:themeColor="text1"/>
          <w:sz w:val="22"/>
          <w:szCs w:val="22"/>
        </w:rPr>
        <w:t xml:space="preserve">Drug &amp; Alcohol </w:t>
      </w:r>
      <w:r w:rsidR="002D0CAC" w:rsidRPr="000100BB">
        <w:rPr>
          <w:rFonts w:asciiTheme="minorHAnsi" w:hAnsiTheme="minorHAnsi"/>
          <w:color w:val="000000" w:themeColor="text1"/>
          <w:sz w:val="22"/>
          <w:szCs w:val="22"/>
        </w:rPr>
        <w:t xml:space="preserve">Treatment Service </w:t>
      </w:r>
      <w:r w:rsidR="00F6386F">
        <w:rPr>
          <w:rStyle w:val="FootnoteReference"/>
          <w:rFonts w:asciiTheme="minorHAnsi" w:hAnsiTheme="minorHAnsi"/>
          <w:color w:val="000000" w:themeColor="text1"/>
          <w:sz w:val="22"/>
          <w:szCs w:val="22"/>
        </w:rPr>
        <w:footnoteReference w:id="2"/>
      </w:r>
    </w:p>
    <w:p w14:paraId="51E95C94" w14:textId="77777777" w:rsidR="002A5505" w:rsidRPr="000100BB" w:rsidRDefault="002A5505" w:rsidP="00CF0567">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Signposting and referring clients to sexual health services across the borough</w:t>
      </w:r>
    </w:p>
    <w:p w14:paraId="6A05A809" w14:textId="77777777" w:rsidR="0068391D" w:rsidRPr="000100BB" w:rsidRDefault="0068391D" w:rsidP="0068391D">
      <w:pPr>
        <w:pStyle w:val="NormalWeb"/>
        <w:shd w:val="clear" w:color="auto" w:fill="F6F6F6"/>
        <w:spacing w:line="360" w:lineRule="atLeast"/>
        <w:ind w:left="1440"/>
        <w:rPr>
          <w:rFonts w:asciiTheme="minorHAnsi" w:hAnsiTheme="minorHAnsi"/>
          <w:color w:val="000000" w:themeColor="text1"/>
          <w:sz w:val="22"/>
          <w:szCs w:val="22"/>
        </w:rPr>
      </w:pPr>
    </w:p>
    <w:p w14:paraId="4942BAB5" w14:textId="77777777" w:rsidR="0068391D" w:rsidRPr="000100BB" w:rsidRDefault="0068391D" w:rsidP="0068391D">
      <w:pPr>
        <w:pStyle w:val="NormalWeb"/>
        <w:numPr>
          <w:ilvl w:val="0"/>
          <w:numId w:val="5"/>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Service Delivery and Requirements</w:t>
      </w:r>
    </w:p>
    <w:p w14:paraId="35D06D01" w14:textId="77777777" w:rsidR="00846730" w:rsidRPr="000100BB" w:rsidRDefault="00AE21BF"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The Pharmacy will provide </w:t>
      </w:r>
      <w:r w:rsidR="00F426EF" w:rsidRPr="000100BB">
        <w:rPr>
          <w:rFonts w:asciiTheme="minorHAnsi" w:hAnsiTheme="minorHAnsi"/>
          <w:color w:val="000000" w:themeColor="text1"/>
          <w:sz w:val="22"/>
          <w:szCs w:val="22"/>
        </w:rPr>
        <w:t>the service to all Tower Ham</w:t>
      </w:r>
      <w:r w:rsidR="00F719A8" w:rsidRPr="000100BB">
        <w:rPr>
          <w:rFonts w:asciiTheme="minorHAnsi" w:hAnsiTheme="minorHAnsi"/>
          <w:color w:val="000000" w:themeColor="text1"/>
          <w:sz w:val="22"/>
          <w:szCs w:val="22"/>
        </w:rPr>
        <w:t>lets residents aged 18 or over (including steroid users).</w:t>
      </w:r>
    </w:p>
    <w:p w14:paraId="08B0EE7C" w14:textId="77777777" w:rsidR="00BC732F" w:rsidRPr="000100BB" w:rsidRDefault="00BC732F" w:rsidP="00BC732F">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Service Users under the age of 18 should be referred to the local young people’s substance misuse service. </w:t>
      </w:r>
    </w:p>
    <w:p w14:paraId="586C8079" w14:textId="77777777" w:rsidR="00846730" w:rsidRPr="000100BB" w:rsidRDefault="00846730" w:rsidP="0084673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It is recognised that the service may be accessed by non-Tower Hamlets residents. The Pharmacy should not refuse </w:t>
      </w:r>
      <w:r w:rsidR="002A5505" w:rsidRPr="000100BB">
        <w:rPr>
          <w:rFonts w:asciiTheme="minorHAnsi" w:hAnsiTheme="minorHAnsi"/>
          <w:color w:val="000000" w:themeColor="text1"/>
          <w:sz w:val="22"/>
          <w:szCs w:val="22"/>
        </w:rPr>
        <w:t xml:space="preserve">needle exchange </w:t>
      </w:r>
      <w:r w:rsidRPr="000100BB">
        <w:rPr>
          <w:rFonts w:asciiTheme="minorHAnsi" w:hAnsiTheme="minorHAnsi"/>
          <w:color w:val="000000" w:themeColor="text1"/>
          <w:sz w:val="22"/>
          <w:szCs w:val="22"/>
        </w:rPr>
        <w:t xml:space="preserve">service to residents of other boroughs. </w:t>
      </w:r>
    </w:p>
    <w:p w14:paraId="38445A7B" w14:textId="77777777" w:rsidR="00846730" w:rsidRPr="000100BB" w:rsidRDefault="005C70E9" w:rsidP="00846730">
      <w:pPr>
        <w:pStyle w:val="NormalWeb"/>
        <w:numPr>
          <w:ilvl w:val="1"/>
          <w:numId w:val="5"/>
        </w:numPr>
        <w:shd w:val="clear" w:color="auto" w:fill="F6F6F6"/>
        <w:spacing w:line="360" w:lineRule="atLeast"/>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The Pharmacy will be in operation 46 hours per week across </w:t>
      </w:r>
      <w:r w:rsidR="00141E2F">
        <w:rPr>
          <w:rFonts w:asciiTheme="minorHAnsi" w:hAnsiTheme="minorHAnsi"/>
          <w:color w:val="000000" w:themeColor="text1"/>
          <w:sz w:val="22"/>
          <w:szCs w:val="22"/>
        </w:rPr>
        <w:t xml:space="preserve">5 days as a minimum. </w:t>
      </w:r>
      <w:r w:rsidR="00846730" w:rsidRPr="000100BB">
        <w:rPr>
          <w:rFonts w:asciiTheme="minorHAnsi" w:hAnsiTheme="minorHAnsi"/>
          <w:color w:val="000000" w:themeColor="text1"/>
          <w:sz w:val="22"/>
          <w:szCs w:val="22"/>
        </w:rPr>
        <w:t>The servi</w:t>
      </w:r>
      <w:r w:rsidR="00D32CC4" w:rsidRPr="000100BB">
        <w:rPr>
          <w:rFonts w:asciiTheme="minorHAnsi" w:hAnsiTheme="minorHAnsi"/>
          <w:color w:val="000000" w:themeColor="text1"/>
          <w:sz w:val="22"/>
          <w:szCs w:val="22"/>
        </w:rPr>
        <w:t xml:space="preserve">ce will be provided during all </w:t>
      </w:r>
      <w:r w:rsidR="00846730" w:rsidRPr="000100BB">
        <w:rPr>
          <w:rFonts w:asciiTheme="minorHAnsi" w:hAnsiTheme="minorHAnsi"/>
          <w:color w:val="000000" w:themeColor="text1"/>
          <w:sz w:val="22"/>
          <w:szCs w:val="22"/>
        </w:rPr>
        <w:t>Pharmacy opening hours.</w:t>
      </w:r>
    </w:p>
    <w:p w14:paraId="6C7377DA" w14:textId="77777777" w:rsidR="00BC732F" w:rsidRPr="000100BB" w:rsidRDefault="00BC732F" w:rsidP="0084673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must ensure that services are delivered from the Pharmacy only.</w:t>
      </w:r>
    </w:p>
    <w:p w14:paraId="58873CC6" w14:textId="77777777" w:rsidR="00BC732F" w:rsidRDefault="00A5062D" w:rsidP="00BC732F">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The Pharmacy must </w:t>
      </w:r>
      <w:r w:rsidR="00BC732F" w:rsidRPr="000100BB">
        <w:rPr>
          <w:rFonts w:asciiTheme="minorHAnsi" w:hAnsiTheme="minorHAnsi"/>
          <w:color w:val="000000" w:themeColor="text1"/>
          <w:sz w:val="22"/>
          <w:szCs w:val="22"/>
        </w:rPr>
        <w:t>clearly display the national needle exchange logo in the window.</w:t>
      </w:r>
    </w:p>
    <w:p w14:paraId="1A7A62F1" w14:textId="77777777" w:rsidR="000F42B0" w:rsidRPr="000100BB" w:rsidRDefault="000F42B0" w:rsidP="000F42B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must hold a standard operating procedure for all elements of the service including dispensing kits, sharps returns, testing, and a needle stick injury policy.</w:t>
      </w:r>
    </w:p>
    <w:p w14:paraId="6A2C96C9" w14:textId="77777777" w:rsidR="000F42B0" w:rsidRPr="000100BB" w:rsidRDefault="000F42B0" w:rsidP="000F42B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regular pharmacist at the Pharmacy providing the service must be registered with the General Pharmaceutical Council</w:t>
      </w:r>
    </w:p>
    <w:p w14:paraId="4A1E146A" w14:textId="77777777" w:rsidR="000F42B0" w:rsidRPr="000100BB" w:rsidRDefault="000F42B0" w:rsidP="000F42B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RPS Registration is desirable but not essential</w:t>
      </w:r>
    </w:p>
    <w:p w14:paraId="627EF48A" w14:textId="151422F9" w:rsidR="000F42B0" w:rsidRPr="000100BB" w:rsidRDefault="000F42B0" w:rsidP="000F42B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All Pharmacy staff involved in delivering the service must attend appropriate needle exchange training delivered by </w:t>
      </w:r>
      <w:r w:rsidR="00854B53">
        <w:rPr>
          <w:rFonts w:asciiTheme="minorHAnsi" w:hAnsiTheme="minorHAnsi"/>
          <w:color w:val="000000" w:themeColor="text1"/>
          <w:sz w:val="22"/>
          <w:szCs w:val="22"/>
        </w:rPr>
        <w:t>the c</w:t>
      </w:r>
      <w:r w:rsidR="002A3A7E">
        <w:rPr>
          <w:rFonts w:asciiTheme="minorHAnsi" w:hAnsiTheme="minorHAnsi"/>
          <w:color w:val="000000" w:themeColor="text1"/>
          <w:sz w:val="22"/>
          <w:szCs w:val="22"/>
        </w:rPr>
        <w:t xml:space="preserve">ommissioned </w:t>
      </w:r>
      <w:r w:rsidR="00854B53">
        <w:rPr>
          <w:rFonts w:asciiTheme="minorHAnsi" w:hAnsiTheme="minorHAnsi"/>
          <w:color w:val="000000" w:themeColor="text1"/>
          <w:sz w:val="22"/>
          <w:szCs w:val="22"/>
        </w:rPr>
        <w:t>n</w:t>
      </w:r>
      <w:r w:rsidR="002A3A7E">
        <w:rPr>
          <w:rFonts w:asciiTheme="minorHAnsi" w:hAnsiTheme="minorHAnsi"/>
          <w:color w:val="000000" w:themeColor="text1"/>
          <w:sz w:val="22"/>
          <w:szCs w:val="22"/>
        </w:rPr>
        <w:t xml:space="preserve">eedle </w:t>
      </w:r>
      <w:r w:rsidR="00854B53">
        <w:rPr>
          <w:rFonts w:asciiTheme="minorHAnsi" w:hAnsiTheme="minorHAnsi"/>
          <w:color w:val="000000" w:themeColor="text1"/>
          <w:sz w:val="22"/>
          <w:szCs w:val="22"/>
        </w:rPr>
        <w:t>e</w:t>
      </w:r>
      <w:r w:rsidR="002A3A7E">
        <w:rPr>
          <w:rFonts w:asciiTheme="minorHAnsi" w:hAnsiTheme="minorHAnsi"/>
          <w:color w:val="000000" w:themeColor="text1"/>
          <w:sz w:val="22"/>
          <w:szCs w:val="22"/>
        </w:rPr>
        <w:t xml:space="preserve">xchange </w:t>
      </w:r>
      <w:r w:rsidR="00854B53">
        <w:rPr>
          <w:rFonts w:asciiTheme="minorHAnsi" w:hAnsiTheme="minorHAnsi"/>
          <w:color w:val="000000" w:themeColor="text1"/>
          <w:sz w:val="22"/>
          <w:szCs w:val="22"/>
        </w:rPr>
        <w:t xml:space="preserve">supplier provider. </w:t>
      </w:r>
    </w:p>
    <w:p w14:paraId="0E3A86CC" w14:textId="77777777" w:rsidR="000F42B0" w:rsidRPr="000100BB" w:rsidRDefault="000F42B0" w:rsidP="000F42B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All Pharmacy staff involved in delivering the service must complete the Hepatitis C: Enhancing Prevention, Testing and Care web module training</w:t>
      </w:r>
      <w:r w:rsidR="001E50B4">
        <w:rPr>
          <w:rFonts w:asciiTheme="minorHAnsi" w:hAnsiTheme="minorHAnsi"/>
          <w:color w:val="000000" w:themeColor="text1"/>
          <w:sz w:val="22"/>
          <w:szCs w:val="22"/>
        </w:rPr>
        <w:t xml:space="preserve"> within 3 months of the contract start date.</w:t>
      </w:r>
    </w:p>
    <w:p w14:paraId="371135E7" w14:textId="77777777" w:rsidR="000F42B0" w:rsidRPr="00B17545" w:rsidRDefault="000F42B0" w:rsidP="00B1754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The Pharmacy will ensure continued learning and development of staff involved in the delivery of the scheme, to ensure awareness of local services, trends and risks. </w:t>
      </w:r>
    </w:p>
    <w:p w14:paraId="454EFAE7" w14:textId="0C5E5C95" w:rsidR="00B17545" w:rsidRDefault="00BC732F" w:rsidP="00BC732F">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The </w:t>
      </w:r>
      <w:r w:rsidR="000A41FF">
        <w:rPr>
          <w:rFonts w:asciiTheme="minorHAnsi" w:hAnsiTheme="minorHAnsi"/>
          <w:color w:val="000000" w:themeColor="text1"/>
          <w:sz w:val="22"/>
          <w:szCs w:val="22"/>
        </w:rPr>
        <w:t>P</w:t>
      </w:r>
      <w:r w:rsidRPr="000100BB">
        <w:rPr>
          <w:rFonts w:asciiTheme="minorHAnsi" w:hAnsiTheme="minorHAnsi"/>
          <w:color w:val="000000" w:themeColor="text1"/>
          <w:sz w:val="22"/>
          <w:szCs w:val="22"/>
        </w:rPr>
        <w:t xml:space="preserve">harmacy must have a suitable </w:t>
      </w:r>
      <w:r w:rsidR="00141E2F">
        <w:rPr>
          <w:rFonts w:asciiTheme="minorHAnsi" w:hAnsiTheme="minorHAnsi"/>
          <w:color w:val="000000" w:themeColor="text1"/>
          <w:sz w:val="22"/>
          <w:szCs w:val="22"/>
        </w:rPr>
        <w:t>private</w:t>
      </w:r>
      <w:r w:rsidR="00141E2F" w:rsidRPr="000100BB">
        <w:rPr>
          <w:rFonts w:asciiTheme="minorHAnsi" w:hAnsiTheme="minorHAnsi"/>
          <w:color w:val="000000" w:themeColor="text1"/>
          <w:sz w:val="22"/>
          <w:szCs w:val="22"/>
        </w:rPr>
        <w:t xml:space="preserve"> </w:t>
      </w:r>
      <w:r w:rsidRPr="000100BB">
        <w:rPr>
          <w:rFonts w:asciiTheme="minorHAnsi" w:hAnsiTheme="minorHAnsi"/>
          <w:color w:val="000000" w:themeColor="text1"/>
          <w:sz w:val="22"/>
          <w:szCs w:val="22"/>
        </w:rPr>
        <w:t>space or room for consultation with service user</w:t>
      </w:r>
      <w:r w:rsidR="000F42B0">
        <w:rPr>
          <w:rFonts w:asciiTheme="minorHAnsi" w:hAnsiTheme="minorHAnsi"/>
          <w:color w:val="000000" w:themeColor="text1"/>
          <w:sz w:val="22"/>
          <w:szCs w:val="22"/>
        </w:rPr>
        <w:t>s</w:t>
      </w:r>
      <w:r w:rsidR="00141E2F">
        <w:rPr>
          <w:rFonts w:asciiTheme="minorHAnsi" w:hAnsiTheme="minorHAnsi"/>
          <w:color w:val="000000" w:themeColor="text1"/>
          <w:sz w:val="22"/>
          <w:szCs w:val="22"/>
        </w:rPr>
        <w:t>, allowing for confidential discussions to be had.</w:t>
      </w:r>
      <w:r w:rsidR="00141E2F" w:rsidRPr="000100BB" w:rsidDel="00141E2F">
        <w:rPr>
          <w:rFonts w:asciiTheme="minorHAnsi" w:hAnsiTheme="minorHAnsi"/>
          <w:color w:val="000000" w:themeColor="text1"/>
          <w:sz w:val="22"/>
          <w:szCs w:val="22"/>
        </w:rPr>
        <w:t xml:space="preserve"> </w:t>
      </w:r>
    </w:p>
    <w:p w14:paraId="04BE9A86" w14:textId="77777777" w:rsidR="001D21C6" w:rsidRPr="000100BB" w:rsidRDefault="001D21C6" w:rsidP="00BC732F">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will ideally have on-site toilet facilities</w:t>
      </w:r>
      <w:r w:rsidR="00254C63" w:rsidRPr="000100BB">
        <w:rPr>
          <w:rFonts w:asciiTheme="minorHAnsi" w:hAnsiTheme="minorHAnsi"/>
          <w:color w:val="000000" w:themeColor="text1"/>
          <w:sz w:val="22"/>
          <w:szCs w:val="22"/>
        </w:rPr>
        <w:t xml:space="preserve"> to support the</w:t>
      </w:r>
      <w:r w:rsidR="001142D5" w:rsidRPr="000100BB">
        <w:rPr>
          <w:rFonts w:asciiTheme="minorHAnsi" w:hAnsiTheme="minorHAnsi"/>
          <w:color w:val="000000" w:themeColor="text1"/>
          <w:sz w:val="22"/>
          <w:szCs w:val="22"/>
        </w:rPr>
        <w:t xml:space="preserve"> sample-collection requirements </w:t>
      </w:r>
      <w:r w:rsidR="00DA45BE" w:rsidRPr="000100BB">
        <w:rPr>
          <w:rFonts w:asciiTheme="minorHAnsi" w:hAnsiTheme="minorHAnsi"/>
          <w:color w:val="000000" w:themeColor="text1"/>
          <w:sz w:val="22"/>
          <w:szCs w:val="22"/>
        </w:rPr>
        <w:t>of the BBV and STI testing provision</w:t>
      </w:r>
      <w:r w:rsidR="001142D5" w:rsidRPr="000100BB">
        <w:rPr>
          <w:rFonts w:asciiTheme="minorHAnsi" w:hAnsiTheme="minorHAnsi"/>
          <w:color w:val="000000" w:themeColor="text1"/>
          <w:sz w:val="22"/>
          <w:szCs w:val="22"/>
        </w:rPr>
        <w:t xml:space="preserve">. Details of </w:t>
      </w:r>
      <w:r w:rsidR="00DA45BE" w:rsidRPr="000100BB">
        <w:rPr>
          <w:rFonts w:asciiTheme="minorHAnsi" w:hAnsiTheme="minorHAnsi"/>
          <w:color w:val="000000" w:themeColor="text1"/>
          <w:sz w:val="22"/>
          <w:szCs w:val="22"/>
        </w:rPr>
        <w:t>this service</w:t>
      </w:r>
      <w:r w:rsidR="001142D5" w:rsidRPr="000100BB">
        <w:rPr>
          <w:rFonts w:asciiTheme="minorHAnsi" w:hAnsiTheme="minorHAnsi"/>
          <w:color w:val="000000" w:themeColor="text1"/>
          <w:sz w:val="22"/>
          <w:szCs w:val="22"/>
        </w:rPr>
        <w:t xml:space="preserve"> are outlined</w:t>
      </w:r>
      <w:r w:rsidR="00254C63" w:rsidRPr="000100BB">
        <w:rPr>
          <w:rFonts w:asciiTheme="minorHAnsi" w:hAnsiTheme="minorHAnsi"/>
          <w:color w:val="000000" w:themeColor="text1"/>
          <w:sz w:val="22"/>
          <w:szCs w:val="22"/>
        </w:rPr>
        <w:t xml:space="preserve"> below.</w:t>
      </w:r>
      <w:r w:rsidRPr="000100BB">
        <w:rPr>
          <w:rFonts w:asciiTheme="minorHAnsi" w:hAnsiTheme="minorHAnsi"/>
          <w:color w:val="000000" w:themeColor="text1"/>
          <w:sz w:val="22"/>
          <w:szCs w:val="22"/>
        </w:rPr>
        <w:t xml:space="preserve"> </w:t>
      </w:r>
    </w:p>
    <w:p w14:paraId="3631558D" w14:textId="77777777" w:rsidR="00A4104B" w:rsidRPr="000100BB" w:rsidRDefault="00A4104B" w:rsidP="00A4104B">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Where appropriate, service users will be seen as soon as possible on arrival at the pharmacy.</w:t>
      </w:r>
    </w:p>
    <w:p w14:paraId="6977A0E0" w14:textId="77777777" w:rsidR="00595956" w:rsidRPr="000100BB" w:rsidRDefault="00F426EF"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will provide readily-package</w:t>
      </w:r>
      <w:r w:rsidR="00A4104B" w:rsidRPr="000100BB">
        <w:rPr>
          <w:rFonts w:asciiTheme="minorHAnsi" w:hAnsiTheme="minorHAnsi"/>
          <w:color w:val="000000" w:themeColor="text1"/>
          <w:sz w:val="22"/>
          <w:szCs w:val="22"/>
        </w:rPr>
        <w:t>d</w:t>
      </w:r>
      <w:r w:rsidRPr="000100BB">
        <w:rPr>
          <w:rFonts w:asciiTheme="minorHAnsi" w:hAnsiTheme="minorHAnsi"/>
          <w:color w:val="000000" w:themeColor="text1"/>
          <w:sz w:val="22"/>
          <w:szCs w:val="22"/>
        </w:rPr>
        <w:t xml:space="preserve"> needle exchange packs in 1ml and 2ml options;</w:t>
      </w:r>
      <w:r w:rsidR="00595956" w:rsidRPr="000100BB">
        <w:rPr>
          <w:rFonts w:asciiTheme="minorHAnsi" w:hAnsiTheme="minorHAnsi"/>
          <w:color w:val="000000" w:themeColor="text1"/>
          <w:sz w:val="22"/>
          <w:szCs w:val="22"/>
        </w:rPr>
        <w:t xml:space="preserve"> the contents of these packs are:</w:t>
      </w:r>
    </w:p>
    <w:p w14:paraId="00C6E797" w14:textId="77777777" w:rsidR="00595956" w:rsidRPr="000100BB" w:rsidRDefault="00595956" w:rsidP="00595956">
      <w:pPr>
        <w:pStyle w:val="ListParagraph"/>
        <w:numPr>
          <w:ilvl w:val="0"/>
          <w:numId w:val="6"/>
        </w:numPr>
        <w:rPr>
          <w:b/>
        </w:rPr>
      </w:pPr>
      <w:r w:rsidRPr="000100BB">
        <w:rPr>
          <w:b/>
        </w:rPr>
        <w:t>1ml Exchange Pack containing</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
        <w:gridCol w:w="6662"/>
      </w:tblGrid>
      <w:tr w:rsidR="00595956" w:rsidRPr="000100BB" w14:paraId="7FACC89F" w14:textId="77777777" w:rsidTr="5A84454D">
        <w:trPr>
          <w:trHeight w:val="315"/>
        </w:trPr>
        <w:tc>
          <w:tcPr>
            <w:tcW w:w="664" w:type="dxa"/>
          </w:tcPr>
          <w:p w14:paraId="649841BE" w14:textId="77777777" w:rsidR="00595956" w:rsidRPr="000100BB" w:rsidRDefault="00595956" w:rsidP="00E2624D">
            <w:pPr>
              <w:pStyle w:val="ListParagraph"/>
              <w:ind w:left="0"/>
            </w:pPr>
            <w:r w:rsidRPr="000100BB">
              <w:t>1</w:t>
            </w:r>
          </w:p>
        </w:tc>
        <w:tc>
          <w:tcPr>
            <w:tcW w:w="6662" w:type="dxa"/>
          </w:tcPr>
          <w:p w14:paraId="00F14F93" w14:textId="77777777" w:rsidR="00595956" w:rsidRPr="000100BB" w:rsidRDefault="00595956" w:rsidP="00E2624D">
            <w:r w:rsidRPr="000100BB">
              <w:t>Re-sealable opaque and identifiable bag</w:t>
            </w:r>
          </w:p>
        </w:tc>
      </w:tr>
      <w:tr w:rsidR="00595956" w:rsidRPr="000100BB" w14:paraId="54692433" w14:textId="77777777" w:rsidTr="5A84454D">
        <w:trPr>
          <w:trHeight w:val="315"/>
        </w:trPr>
        <w:tc>
          <w:tcPr>
            <w:tcW w:w="664" w:type="dxa"/>
          </w:tcPr>
          <w:p w14:paraId="5D369756" w14:textId="77777777" w:rsidR="00595956" w:rsidRPr="000100BB" w:rsidRDefault="00595956" w:rsidP="00E2624D">
            <w:pPr>
              <w:pStyle w:val="ListParagraph"/>
              <w:ind w:left="0"/>
            </w:pPr>
            <w:r w:rsidRPr="000100BB">
              <w:t>10</w:t>
            </w:r>
          </w:p>
        </w:tc>
        <w:tc>
          <w:tcPr>
            <w:tcW w:w="6662" w:type="dxa"/>
          </w:tcPr>
          <w:p w14:paraId="542CA800" w14:textId="355031EA" w:rsidR="00595956" w:rsidRPr="000100BB" w:rsidRDefault="00595956" w:rsidP="5A84454D">
            <w:pPr>
              <w:rPr>
                <w:rFonts w:ascii="Calibri" w:eastAsia="Calibri" w:hAnsi="Calibri" w:cs="Calibri"/>
              </w:rPr>
            </w:pPr>
            <w:r>
              <w:t>1</w:t>
            </w:r>
            <w:r w:rsidR="2F293791">
              <w:t>ml low</w:t>
            </w:r>
            <w:r>
              <w:t xml:space="preserve"> dead space Nevershare/ coloured fixed needle syringes</w:t>
            </w:r>
            <w:r w:rsidR="00122611" w:rsidRPr="5A84454D">
              <w:t xml:space="preserve"> </w:t>
            </w:r>
            <w:r w:rsidR="11B611E9" w:rsidRPr="5A84454D">
              <w:t>(</w:t>
            </w:r>
            <w:r w:rsidR="11B611E9" w:rsidRPr="5A84454D">
              <w:rPr>
                <w:rFonts w:ascii="Calibri" w:eastAsia="Calibri" w:hAnsi="Calibri" w:cs="Calibri"/>
              </w:rPr>
              <w:t>Acufine 1ml 29g)</w:t>
            </w:r>
          </w:p>
        </w:tc>
      </w:tr>
      <w:tr w:rsidR="00595956" w:rsidRPr="000100BB" w14:paraId="14410E9D" w14:textId="77777777" w:rsidTr="5A84454D">
        <w:trPr>
          <w:trHeight w:val="309"/>
        </w:trPr>
        <w:tc>
          <w:tcPr>
            <w:tcW w:w="664" w:type="dxa"/>
          </w:tcPr>
          <w:p w14:paraId="446DE71A" w14:textId="77777777" w:rsidR="00595956" w:rsidRPr="000100BB" w:rsidRDefault="00595956" w:rsidP="00E2624D">
            <w:pPr>
              <w:pStyle w:val="ListParagraph"/>
              <w:ind w:left="0"/>
            </w:pPr>
            <w:r w:rsidRPr="000100BB">
              <w:t>10</w:t>
            </w:r>
          </w:p>
        </w:tc>
        <w:tc>
          <w:tcPr>
            <w:tcW w:w="6662" w:type="dxa"/>
          </w:tcPr>
          <w:p w14:paraId="4A53984B" w14:textId="77777777" w:rsidR="00595956" w:rsidRPr="000100BB" w:rsidRDefault="00595956" w:rsidP="00E2624D">
            <w:r w:rsidRPr="000100BB">
              <w:t>Citric acid sachets</w:t>
            </w:r>
          </w:p>
        </w:tc>
      </w:tr>
      <w:tr w:rsidR="00595956" w:rsidRPr="000100BB" w14:paraId="0F6FC1A1" w14:textId="77777777" w:rsidTr="5A84454D">
        <w:trPr>
          <w:trHeight w:val="309"/>
        </w:trPr>
        <w:tc>
          <w:tcPr>
            <w:tcW w:w="664" w:type="dxa"/>
          </w:tcPr>
          <w:p w14:paraId="3E1FE5D4" w14:textId="77777777" w:rsidR="00595956" w:rsidRPr="000100BB" w:rsidRDefault="00595956" w:rsidP="00E2624D">
            <w:pPr>
              <w:pStyle w:val="ListParagraph"/>
              <w:ind w:left="0"/>
            </w:pPr>
            <w:r w:rsidRPr="000100BB">
              <w:t>10</w:t>
            </w:r>
          </w:p>
        </w:tc>
        <w:tc>
          <w:tcPr>
            <w:tcW w:w="6662" w:type="dxa"/>
          </w:tcPr>
          <w:p w14:paraId="049C16ED" w14:textId="77777777" w:rsidR="00595956" w:rsidRPr="000100BB" w:rsidRDefault="00595956" w:rsidP="00E2624D">
            <w:r w:rsidRPr="000100BB">
              <w:t>Spoons (assorted colours)</w:t>
            </w:r>
          </w:p>
        </w:tc>
      </w:tr>
      <w:tr w:rsidR="00595956" w:rsidRPr="000100BB" w14:paraId="12764193" w14:textId="77777777" w:rsidTr="5A84454D">
        <w:trPr>
          <w:trHeight w:val="309"/>
        </w:trPr>
        <w:tc>
          <w:tcPr>
            <w:tcW w:w="664" w:type="dxa"/>
          </w:tcPr>
          <w:p w14:paraId="31830EAB" w14:textId="77777777" w:rsidR="00595956" w:rsidRPr="000100BB" w:rsidRDefault="00595956" w:rsidP="00E2624D">
            <w:pPr>
              <w:pStyle w:val="ListParagraph"/>
              <w:ind w:left="0"/>
            </w:pPr>
            <w:r w:rsidRPr="000100BB">
              <w:t>10</w:t>
            </w:r>
          </w:p>
        </w:tc>
        <w:tc>
          <w:tcPr>
            <w:tcW w:w="6662" w:type="dxa"/>
          </w:tcPr>
          <w:p w14:paraId="598F8F46" w14:textId="77777777" w:rsidR="00595956" w:rsidRPr="000100BB" w:rsidRDefault="00595956" w:rsidP="00E2624D">
            <w:r w:rsidRPr="000100BB">
              <w:t>Filters</w:t>
            </w:r>
          </w:p>
        </w:tc>
      </w:tr>
      <w:tr w:rsidR="00595956" w:rsidRPr="000100BB" w14:paraId="6C08EA1B" w14:textId="77777777" w:rsidTr="5A84454D">
        <w:trPr>
          <w:trHeight w:val="309"/>
        </w:trPr>
        <w:tc>
          <w:tcPr>
            <w:tcW w:w="664" w:type="dxa"/>
          </w:tcPr>
          <w:p w14:paraId="22F65FF9" w14:textId="77777777" w:rsidR="00595956" w:rsidRPr="000100BB" w:rsidRDefault="00595956" w:rsidP="00E2624D">
            <w:pPr>
              <w:pStyle w:val="ListParagraph"/>
              <w:ind w:left="0"/>
            </w:pPr>
            <w:r w:rsidRPr="000100BB">
              <w:t>10</w:t>
            </w:r>
          </w:p>
        </w:tc>
        <w:tc>
          <w:tcPr>
            <w:tcW w:w="6662" w:type="dxa"/>
          </w:tcPr>
          <w:p w14:paraId="6D870AAD" w14:textId="77777777" w:rsidR="00595956" w:rsidRPr="000100BB" w:rsidRDefault="00595956" w:rsidP="00E2624D">
            <w:r w:rsidRPr="000100BB">
              <w:t>Alcohol pre-injecting swabs</w:t>
            </w:r>
          </w:p>
        </w:tc>
      </w:tr>
      <w:tr w:rsidR="00595956" w:rsidRPr="000100BB" w14:paraId="3DBE3C87" w14:textId="77777777" w:rsidTr="5A84454D">
        <w:trPr>
          <w:trHeight w:val="309"/>
        </w:trPr>
        <w:tc>
          <w:tcPr>
            <w:tcW w:w="664" w:type="dxa"/>
          </w:tcPr>
          <w:p w14:paraId="56B20A0C" w14:textId="77777777" w:rsidR="00595956" w:rsidRPr="000100BB" w:rsidRDefault="00595956" w:rsidP="00E2624D">
            <w:pPr>
              <w:pStyle w:val="ListParagraph"/>
              <w:ind w:left="0"/>
            </w:pPr>
            <w:r w:rsidRPr="000100BB">
              <w:lastRenderedPageBreak/>
              <w:t>1</w:t>
            </w:r>
          </w:p>
        </w:tc>
        <w:tc>
          <w:tcPr>
            <w:tcW w:w="6662" w:type="dxa"/>
          </w:tcPr>
          <w:p w14:paraId="4214D966" w14:textId="77777777" w:rsidR="00595956" w:rsidRPr="000100BB" w:rsidRDefault="00595956" w:rsidP="00E2624D">
            <w:r w:rsidRPr="000100BB">
              <w:t>Condom</w:t>
            </w:r>
          </w:p>
        </w:tc>
      </w:tr>
      <w:tr w:rsidR="00595956" w:rsidRPr="000100BB" w14:paraId="6859600C" w14:textId="77777777" w:rsidTr="5A84454D">
        <w:trPr>
          <w:trHeight w:val="309"/>
        </w:trPr>
        <w:tc>
          <w:tcPr>
            <w:tcW w:w="664" w:type="dxa"/>
          </w:tcPr>
          <w:p w14:paraId="249FAAB8" w14:textId="77777777" w:rsidR="00595956" w:rsidRPr="000100BB" w:rsidRDefault="00595956" w:rsidP="00E2624D">
            <w:pPr>
              <w:pStyle w:val="ListParagraph"/>
              <w:ind w:left="0"/>
            </w:pPr>
            <w:r w:rsidRPr="000100BB">
              <w:t>1</w:t>
            </w:r>
          </w:p>
        </w:tc>
        <w:tc>
          <w:tcPr>
            <w:tcW w:w="6662" w:type="dxa"/>
          </w:tcPr>
          <w:p w14:paraId="4C32902A" w14:textId="71936EB0" w:rsidR="00595956" w:rsidRPr="000100BB" w:rsidRDefault="6FFB0EB9" w:rsidP="5A84454D">
            <w:pPr>
              <w:rPr>
                <w:rFonts w:ascii="Calibri" w:eastAsia="Calibri" w:hAnsi="Calibri" w:cs="Calibri"/>
              </w:rPr>
            </w:pPr>
            <w:r w:rsidRPr="5A84454D">
              <w:rPr>
                <w:rFonts w:ascii="Calibri" w:eastAsia="Calibri" w:hAnsi="Calibri" w:cs="Calibri"/>
              </w:rPr>
              <w:t>Safeloc 0.35L Black Needle Exchange Container</w:t>
            </w:r>
          </w:p>
        </w:tc>
      </w:tr>
      <w:tr w:rsidR="00595956" w:rsidRPr="000100BB" w14:paraId="213F4E4D" w14:textId="77777777" w:rsidTr="5A84454D">
        <w:trPr>
          <w:trHeight w:val="309"/>
        </w:trPr>
        <w:tc>
          <w:tcPr>
            <w:tcW w:w="664" w:type="dxa"/>
          </w:tcPr>
          <w:p w14:paraId="19F14E3C" w14:textId="77777777" w:rsidR="00595956" w:rsidRPr="000100BB" w:rsidRDefault="00595956" w:rsidP="00E2624D">
            <w:pPr>
              <w:pStyle w:val="ListParagraph"/>
              <w:ind w:left="0"/>
            </w:pPr>
            <w:r w:rsidRPr="000100BB">
              <w:t>1</w:t>
            </w:r>
          </w:p>
        </w:tc>
        <w:tc>
          <w:tcPr>
            <w:tcW w:w="6662" w:type="dxa"/>
          </w:tcPr>
          <w:p w14:paraId="4C6C4EBD" w14:textId="46FAF335" w:rsidR="00595956" w:rsidRPr="000100BB" w:rsidRDefault="00595956" w:rsidP="00E2624D">
            <w:r>
              <w:t xml:space="preserve">1 x Tower Hamlets </w:t>
            </w:r>
            <w:r w:rsidR="378F8533">
              <w:t>Reset Service Leaflet</w:t>
            </w:r>
            <w:r>
              <w:t xml:space="preserve"> </w:t>
            </w:r>
          </w:p>
        </w:tc>
      </w:tr>
    </w:tbl>
    <w:p w14:paraId="5A39BBE3" w14:textId="77777777" w:rsidR="00595956" w:rsidRPr="000100BB" w:rsidRDefault="00595956" w:rsidP="00595956">
      <w:pPr>
        <w:pStyle w:val="ListParagraph"/>
      </w:pPr>
    </w:p>
    <w:p w14:paraId="5F5AE68F" w14:textId="77777777" w:rsidR="00595956" w:rsidRPr="000100BB" w:rsidRDefault="00595956" w:rsidP="00595956">
      <w:pPr>
        <w:pStyle w:val="ListParagraph"/>
        <w:numPr>
          <w:ilvl w:val="0"/>
          <w:numId w:val="6"/>
        </w:numPr>
        <w:rPr>
          <w:b/>
        </w:rPr>
      </w:pPr>
      <w:r w:rsidRPr="000100BB">
        <w:rPr>
          <w:b/>
        </w:rPr>
        <w:t>2ml Exchange Pack containing</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
        <w:gridCol w:w="6662"/>
      </w:tblGrid>
      <w:tr w:rsidR="00595956" w:rsidRPr="000100BB" w14:paraId="62C036F4" w14:textId="77777777" w:rsidTr="5A84454D">
        <w:trPr>
          <w:trHeight w:val="315"/>
        </w:trPr>
        <w:tc>
          <w:tcPr>
            <w:tcW w:w="664" w:type="dxa"/>
          </w:tcPr>
          <w:p w14:paraId="065D2414" w14:textId="77777777" w:rsidR="00595956" w:rsidRPr="000100BB" w:rsidRDefault="00595956" w:rsidP="00E2624D">
            <w:pPr>
              <w:pStyle w:val="ListParagraph"/>
              <w:ind w:left="0"/>
            </w:pPr>
            <w:r w:rsidRPr="000100BB">
              <w:t>1</w:t>
            </w:r>
          </w:p>
        </w:tc>
        <w:tc>
          <w:tcPr>
            <w:tcW w:w="6662" w:type="dxa"/>
          </w:tcPr>
          <w:p w14:paraId="1F02F66C" w14:textId="77777777" w:rsidR="00595956" w:rsidRPr="000100BB" w:rsidRDefault="00595956" w:rsidP="00E2624D">
            <w:r w:rsidRPr="000100BB">
              <w:t>Re-sealable opaque and identifiable pack</w:t>
            </w:r>
          </w:p>
        </w:tc>
      </w:tr>
      <w:tr w:rsidR="00595956" w:rsidRPr="000100BB" w14:paraId="6BBD7006" w14:textId="77777777" w:rsidTr="5A84454D">
        <w:trPr>
          <w:trHeight w:val="315"/>
        </w:trPr>
        <w:tc>
          <w:tcPr>
            <w:tcW w:w="664" w:type="dxa"/>
          </w:tcPr>
          <w:p w14:paraId="0FA5DB3D" w14:textId="77777777" w:rsidR="00595956" w:rsidRPr="000100BB" w:rsidRDefault="00595956" w:rsidP="00E2624D">
            <w:pPr>
              <w:pStyle w:val="ListParagraph"/>
              <w:ind w:left="0"/>
            </w:pPr>
            <w:r w:rsidRPr="000100BB">
              <w:t>10</w:t>
            </w:r>
          </w:p>
        </w:tc>
        <w:tc>
          <w:tcPr>
            <w:tcW w:w="6662" w:type="dxa"/>
          </w:tcPr>
          <w:p w14:paraId="7B43E493" w14:textId="1C963063" w:rsidR="00595956" w:rsidRPr="000100BB" w:rsidRDefault="7F8382A2" w:rsidP="5A84454D">
            <w:pPr>
              <w:rPr>
                <w:rFonts w:ascii="Calibri" w:eastAsia="Calibri" w:hAnsi="Calibri" w:cs="Calibri"/>
              </w:rPr>
            </w:pPr>
            <w:r w:rsidRPr="5A84454D">
              <w:rPr>
                <w:rFonts w:ascii="Calibri" w:eastAsia="Calibri" w:hAnsi="Calibri" w:cs="Calibri"/>
              </w:rPr>
              <w:t>Acuject 2ml low dead space syringe</w:t>
            </w:r>
          </w:p>
        </w:tc>
      </w:tr>
      <w:tr w:rsidR="00595956" w:rsidRPr="000100BB" w14:paraId="3A4B8665" w14:textId="77777777" w:rsidTr="5A84454D">
        <w:trPr>
          <w:trHeight w:val="315"/>
        </w:trPr>
        <w:tc>
          <w:tcPr>
            <w:tcW w:w="664" w:type="dxa"/>
          </w:tcPr>
          <w:p w14:paraId="5E8FBDAF" w14:textId="77777777" w:rsidR="00595956" w:rsidRPr="000100BB" w:rsidRDefault="00595956" w:rsidP="00E2624D">
            <w:pPr>
              <w:pStyle w:val="ListParagraph"/>
              <w:ind w:left="0"/>
            </w:pPr>
            <w:r w:rsidRPr="000100BB">
              <w:t>10</w:t>
            </w:r>
          </w:p>
        </w:tc>
        <w:tc>
          <w:tcPr>
            <w:tcW w:w="6662" w:type="dxa"/>
          </w:tcPr>
          <w:p w14:paraId="0CC1828C" w14:textId="5EE464AA" w:rsidR="00595956" w:rsidRPr="000100BB" w:rsidRDefault="58F390F9" w:rsidP="5A84454D">
            <w:r w:rsidRPr="5A84454D">
              <w:rPr>
                <w:rFonts w:ascii="Calibri" w:eastAsia="Calibri" w:hAnsi="Calibri" w:cs="Calibri"/>
              </w:rPr>
              <w:t xml:space="preserve">Acucan 23g ¼” Blue Needle </w:t>
            </w:r>
          </w:p>
        </w:tc>
      </w:tr>
      <w:tr w:rsidR="00595956" w:rsidRPr="000100BB" w14:paraId="2AD473DE" w14:textId="77777777" w:rsidTr="5A84454D">
        <w:trPr>
          <w:trHeight w:val="315"/>
        </w:trPr>
        <w:tc>
          <w:tcPr>
            <w:tcW w:w="664" w:type="dxa"/>
          </w:tcPr>
          <w:p w14:paraId="68AD3BD9" w14:textId="77777777" w:rsidR="00595956" w:rsidRPr="000100BB" w:rsidRDefault="00595956" w:rsidP="00E2624D">
            <w:pPr>
              <w:pStyle w:val="ListParagraph"/>
              <w:ind w:left="0"/>
            </w:pPr>
            <w:r w:rsidRPr="000100BB">
              <w:t>10</w:t>
            </w:r>
          </w:p>
        </w:tc>
        <w:tc>
          <w:tcPr>
            <w:tcW w:w="6662" w:type="dxa"/>
          </w:tcPr>
          <w:p w14:paraId="6472039F" w14:textId="3757309F" w:rsidR="00595956" w:rsidRPr="000100BB" w:rsidRDefault="643B57B9" w:rsidP="5A84454D">
            <w:pPr>
              <w:rPr>
                <w:rFonts w:ascii="Calibri" w:eastAsia="Calibri" w:hAnsi="Calibri" w:cs="Calibri"/>
              </w:rPr>
            </w:pPr>
            <w:r w:rsidRPr="5A84454D">
              <w:rPr>
                <w:rFonts w:ascii="Calibri" w:eastAsia="Calibri" w:hAnsi="Calibri" w:cs="Calibri"/>
              </w:rPr>
              <w:t>Acucan 25g 1” Orange Needle</w:t>
            </w:r>
          </w:p>
        </w:tc>
      </w:tr>
      <w:tr w:rsidR="00595956" w:rsidRPr="000100BB" w14:paraId="1447D644" w14:textId="77777777" w:rsidTr="5A84454D">
        <w:trPr>
          <w:trHeight w:val="309"/>
        </w:trPr>
        <w:tc>
          <w:tcPr>
            <w:tcW w:w="664" w:type="dxa"/>
          </w:tcPr>
          <w:p w14:paraId="7F1FE2E8" w14:textId="77777777" w:rsidR="00595956" w:rsidRPr="000100BB" w:rsidRDefault="00595956" w:rsidP="00E2624D">
            <w:pPr>
              <w:pStyle w:val="ListParagraph"/>
              <w:ind w:left="0"/>
            </w:pPr>
            <w:r w:rsidRPr="000100BB">
              <w:t>10</w:t>
            </w:r>
          </w:p>
        </w:tc>
        <w:tc>
          <w:tcPr>
            <w:tcW w:w="6662" w:type="dxa"/>
          </w:tcPr>
          <w:p w14:paraId="0A4B5751" w14:textId="77777777" w:rsidR="00595956" w:rsidRPr="000100BB" w:rsidRDefault="00595956" w:rsidP="00E2624D">
            <w:r w:rsidRPr="000100BB">
              <w:t>Citric Acid</w:t>
            </w:r>
          </w:p>
        </w:tc>
      </w:tr>
      <w:tr w:rsidR="00595956" w:rsidRPr="000100BB" w14:paraId="58D8730F" w14:textId="77777777" w:rsidTr="5A84454D">
        <w:trPr>
          <w:trHeight w:val="309"/>
        </w:trPr>
        <w:tc>
          <w:tcPr>
            <w:tcW w:w="664" w:type="dxa"/>
          </w:tcPr>
          <w:p w14:paraId="4F941543" w14:textId="77777777" w:rsidR="00595956" w:rsidRPr="000100BB" w:rsidRDefault="00595956" w:rsidP="00E2624D">
            <w:pPr>
              <w:pStyle w:val="ListParagraph"/>
              <w:ind w:left="0"/>
            </w:pPr>
            <w:r w:rsidRPr="000100BB">
              <w:t>10</w:t>
            </w:r>
          </w:p>
        </w:tc>
        <w:tc>
          <w:tcPr>
            <w:tcW w:w="6662" w:type="dxa"/>
          </w:tcPr>
          <w:p w14:paraId="63D2175D" w14:textId="77777777" w:rsidR="00595956" w:rsidRPr="000100BB" w:rsidRDefault="00595956" w:rsidP="00E2624D">
            <w:r w:rsidRPr="000100BB">
              <w:t>Spoons (assorted colours)</w:t>
            </w:r>
          </w:p>
        </w:tc>
      </w:tr>
      <w:tr w:rsidR="00595956" w:rsidRPr="000100BB" w14:paraId="246502B0" w14:textId="77777777" w:rsidTr="5A84454D">
        <w:trPr>
          <w:trHeight w:val="309"/>
        </w:trPr>
        <w:tc>
          <w:tcPr>
            <w:tcW w:w="664" w:type="dxa"/>
          </w:tcPr>
          <w:p w14:paraId="05BEBC04" w14:textId="77777777" w:rsidR="00595956" w:rsidRPr="000100BB" w:rsidRDefault="00595956" w:rsidP="00E2624D">
            <w:pPr>
              <w:pStyle w:val="ListParagraph"/>
              <w:ind w:left="0"/>
            </w:pPr>
            <w:r w:rsidRPr="000100BB">
              <w:t>10</w:t>
            </w:r>
          </w:p>
        </w:tc>
        <w:tc>
          <w:tcPr>
            <w:tcW w:w="6662" w:type="dxa"/>
          </w:tcPr>
          <w:p w14:paraId="76F5A0AD" w14:textId="77777777" w:rsidR="00595956" w:rsidRPr="000100BB" w:rsidRDefault="00595956" w:rsidP="00E2624D">
            <w:r w:rsidRPr="000100BB">
              <w:t>Filters</w:t>
            </w:r>
          </w:p>
        </w:tc>
      </w:tr>
      <w:tr w:rsidR="00595956" w:rsidRPr="000100BB" w14:paraId="050F4386" w14:textId="77777777" w:rsidTr="5A84454D">
        <w:trPr>
          <w:trHeight w:val="309"/>
        </w:trPr>
        <w:tc>
          <w:tcPr>
            <w:tcW w:w="664" w:type="dxa"/>
          </w:tcPr>
          <w:p w14:paraId="1E2F441F" w14:textId="77777777" w:rsidR="00595956" w:rsidRPr="000100BB" w:rsidRDefault="00595956" w:rsidP="00E2624D">
            <w:pPr>
              <w:pStyle w:val="ListParagraph"/>
              <w:ind w:left="0"/>
            </w:pPr>
            <w:r w:rsidRPr="000100BB">
              <w:t>10</w:t>
            </w:r>
          </w:p>
        </w:tc>
        <w:tc>
          <w:tcPr>
            <w:tcW w:w="6662" w:type="dxa"/>
          </w:tcPr>
          <w:p w14:paraId="12F90B77" w14:textId="77777777" w:rsidR="00595956" w:rsidRPr="000100BB" w:rsidRDefault="00595956" w:rsidP="00E2624D">
            <w:r w:rsidRPr="000100BB">
              <w:t>Alcohol pre-injecting Swabs</w:t>
            </w:r>
          </w:p>
        </w:tc>
      </w:tr>
      <w:tr w:rsidR="00595956" w:rsidRPr="000100BB" w14:paraId="4BC630E8" w14:textId="77777777" w:rsidTr="5A84454D">
        <w:trPr>
          <w:trHeight w:val="309"/>
        </w:trPr>
        <w:tc>
          <w:tcPr>
            <w:tcW w:w="664" w:type="dxa"/>
          </w:tcPr>
          <w:p w14:paraId="2E32D521" w14:textId="77777777" w:rsidR="00595956" w:rsidRPr="000100BB" w:rsidRDefault="00595956" w:rsidP="00E2624D">
            <w:pPr>
              <w:pStyle w:val="ListParagraph"/>
              <w:ind w:left="0"/>
            </w:pPr>
            <w:r w:rsidRPr="000100BB">
              <w:t>1</w:t>
            </w:r>
          </w:p>
        </w:tc>
        <w:tc>
          <w:tcPr>
            <w:tcW w:w="6662" w:type="dxa"/>
          </w:tcPr>
          <w:p w14:paraId="156D33CC" w14:textId="77777777" w:rsidR="00595956" w:rsidRPr="000100BB" w:rsidRDefault="00595956" w:rsidP="00E2624D">
            <w:r w:rsidRPr="000100BB">
              <w:t>Condom</w:t>
            </w:r>
          </w:p>
        </w:tc>
      </w:tr>
      <w:tr w:rsidR="00595956" w:rsidRPr="000100BB" w14:paraId="7C772CEC" w14:textId="77777777" w:rsidTr="5A84454D">
        <w:trPr>
          <w:trHeight w:val="309"/>
        </w:trPr>
        <w:tc>
          <w:tcPr>
            <w:tcW w:w="664" w:type="dxa"/>
          </w:tcPr>
          <w:p w14:paraId="0C50080F" w14:textId="77777777" w:rsidR="00595956" w:rsidRPr="000100BB" w:rsidRDefault="00595956" w:rsidP="00E2624D">
            <w:pPr>
              <w:pStyle w:val="ListParagraph"/>
              <w:ind w:left="0"/>
            </w:pPr>
            <w:r w:rsidRPr="000100BB">
              <w:t>1</w:t>
            </w:r>
          </w:p>
        </w:tc>
        <w:tc>
          <w:tcPr>
            <w:tcW w:w="6662" w:type="dxa"/>
          </w:tcPr>
          <w:p w14:paraId="3D69EAEB" w14:textId="62642D6E" w:rsidR="00595956" w:rsidRPr="000100BB" w:rsidRDefault="67DF769E" w:rsidP="5A84454D">
            <w:pPr>
              <w:rPr>
                <w:rFonts w:ascii="Calibri" w:eastAsia="Calibri" w:hAnsi="Calibri" w:cs="Calibri"/>
              </w:rPr>
            </w:pPr>
            <w:r w:rsidRPr="5A84454D">
              <w:rPr>
                <w:rFonts w:ascii="Calibri" w:eastAsia="Calibri" w:hAnsi="Calibri" w:cs="Calibri"/>
              </w:rPr>
              <w:t>Safeloc 0.35L Black Needle Exchange Container</w:t>
            </w:r>
          </w:p>
        </w:tc>
      </w:tr>
      <w:tr w:rsidR="00595956" w:rsidRPr="000100BB" w14:paraId="7456AF41" w14:textId="77777777" w:rsidTr="5A84454D">
        <w:trPr>
          <w:trHeight w:val="309"/>
        </w:trPr>
        <w:tc>
          <w:tcPr>
            <w:tcW w:w="664" w:type="dxa"/>
          </w:tcPr>
          <w:p w14:paraId="050B3AD0" w14:textId="77777777" w:rsidR="00595956" w:rsidRPr="000100BB" w:rsidRDefault="00595956" w:rsidP="00E2624D">
            <w:pPr>
              <w:pStyle w:val="ListParagraph"/>
              <w:ind w:left="0"/>
            </w:pPr>
            <w:r w:rsidRPr="000100BB">
              <w:t>1</w:t>
            </w:r>
          </w:p>
        </w:tc>
        <w:tc>
          <w:tcPr>
            <w:tcW w:w="6662" w:type="dxa"/>
          </w:tcPr>
          <w:p w14:paraId="3E9F88F5" w14:textId="5E73570C" w:rsidR="00595956" w:rsidRPr="000100BB" w:rsidRDefault="695EB5C1" w:rsidP="00E2624D">
            <w:r>
              <w:t>1 x Tower Hamlets Reset Service Leaflet</w:t>
            </w:r>
          </w:p>
        </w:tc>
      </w:tr>
    </w:tbl>
    <w:p w14:paraId="41C8F396" w14:textId="77777777" w:rsidR="00595956" w:rsidRPr="000100BB" w:rsidRDefault="00595956" w:rsidP="00A41455">
      <w:pPr>
        <w:pStyle w:val="NormalWeb"/>
        <w:shd w:val="clear" w:color="auto" w:fill="F6F6F6"/>
        <w:spacing w:line="360" w:lineRule="atLeast"/>
        <w:rPr>
          <w:rFonts w:asciiTheme="minorHAnsi" w:hAnsiTheme="minorHAnsi"/>
          <w:color w:val="000000" w:themeColor="text1"/>
          <w:sz w:val="22"/>
          <w:szCs w:val="22"/>
        </w:rPr>
      </w:pPr>
    </w:p>
    <w:p w14:paraId="7E39B415" w14:textId="77777777" w:rsidR="00BC732F" w:rsidRPr="000100BB" w:rsidRDefault="00BC732F"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will also provide foil</w:t>
      </w:r>
      <w:r w:rsidR="007C4344" w:rsidRPr="000100BB">
        <w:rPr>
          <w:rFonts w:asciiTheme="minorHAnsi" w:hAnsiTheme="minorHAnsi"/>
          <w:color w:val="000000" w:themeColor="text1"/>
          <w:sz w:val="22"/>
          <w:szCs w:val="22"/>
        </w:rPr>
        <w:t xml:space="preserve"> and this will be ordered</w:t>
      </w:r>
      <w:r w:rsidR="00DA45BE" w:rsidRPr="000100BB">
        <w:rPr>
          <w:rFonts w:asciiTheme="minorHAnsi" w:hAnsiTheme="minorHAnsi"/>
          <w:color w:val="000000" w:themeColor="text1"/>
          <w:sz w:val="22"/>
          <w:szCs w:val="22"/>
        </w:rPr>
        <w:t xml:space="preserve"> separately</w:t>
      </w:r>
      <w:r w:rsidR="007C4344" w:rsidRPr="000100BB">
        <w:rPr>
          <w:rFonts w:asciiTheme="minorHAnsi" w:hAnsiTheme="minorHAnsi"/>
          <w:color w:val="000000" w:themeColor="text1"/>
          <w:sz w:val="22"/>
          <w:szCs w:val="22"/>
        </w:rPr>
        <w:t xml:space="preserve"> in addition to the readily-packaged needle exchange packs.</w:t>
      </w:r>
    </w:p>
    <w:p w14:paraId="767AE707" w14:textId="4F549767" w:rsidR="001823E7" w:rsidRPr="000100BB" w:rsidRDefault="00427F2E" w:rsidP="5A84454D">
      <w:pPr>
        <w:pStyle w:val="NormalWeb"/>
        <w:numPr>
          <w:ilvl w:val="1"/>
          <w:numId w:val="5"/>
        </w:numPr>
        <w:shd w:val="clear" w:color="auto" w:fill="F6F6F6"/>
        <w:spacing w:line="360" w:lineRule="atLeast"/>
        <w:rPr>
          <w:rFonts w:asciiTheme="minorHAnsi" w:hAnsiTheme="minorHAnsi"/>
          <w:color w:val="000000" w:themeColor="text1"/>
          <w:sz w:val="22"/>
          <w:szCs w:val="22"/>
        </w:rPr>
      </w:pPr>
      <w:r w:rsidRPr="5A84454D">
        <w:rPr>
          <w:rFonts w:asciiTheme="minorHAnsi" w:hAnsiTheme="minorHAnsi"/>
          <w:color w:val="000000" w:themeColor="text1"/>
          <w:sz w:val="22"/>
          <w:szCs w:val="22"/>
        </w:rPr>
        <w:t>The Pharmacy must</w:t>
      </w:r>
      <w:r w:rsidR="001823E7" w:rsidRPr="5A84454D">
        <w:rPr>
          <w:rFonts w:asciiTheme="minorHAnsi" w:hAnsiTheme="minorHAnsi"/>
          <w:color w:val="000000" w:themeColor="text1"/>
          <w:sz w:val="22"/>
          <w:szCs w:val="22"/>
        </w:rPr>
        <w:t xml:space="preserve"> ensure surplus supply of personal sharps containers (0.2 Ltr, 0.3</w:t>
      </w:r>
      <w:r w:rsidR="44474883" w:rsidRPr="5A84454D">
        <w:rPr>
          <w:rFonts w:asciiTheme="minorHAnsi" w:hAnsiTheme="minorHAnsi"/>
          <w:color w:val="000000" w:themeColor="text1"/>
          <w:sz w:val="22"/>
          <w:szCs w:val="22"/>
        </w:rPr>
        <w:t>5</w:t>
      </w:r>
      <w:r w:rsidR="001823E7" w:rsidRPr="5A84454D">
        <w:rPr>
          <w:rFonts w:asciiTheme="minorHAnsi" w:hAnsiTheme="minorHAnsi"/>
          <w:color w:val="000000" w:themeColor="text1"/>
          <w:sz w:val="22"/>
          <w:szCs w:val="22"/>
        </w:rPr>
        <w:t>Ltr and 0.45Lts) is available should service users request additional containers. These can be ordered</w:t>
      </w:r>
      <w:r w:rsidR="00DA45BE" w:rsidRPr="5A84454D">
        <w:rPr>
          <w:rFonts w:asciiTheme="minorHAnsi" w:hAnsiTheme="minorHAnsi"/>
          <w:color w:val="000000" w:themeColor="text1"/>
          <w:sz w:val="22"/>
          <w:szCs w:val="22"/>
        </w:rPr>
        <w:t xml:space="preserve"> separately</w:t>
      </w:r>
      <w:r w:rsidR="001823E7" w:rsidRPr="5A84454D">
        <w:rPr>
          <w:rFonts w:asciiTheme="minorHAnsi" w:hAnsiTheme="minorHAnsi"/>
          <w:color w:val="000000" w:themeColor="text1"/>
          <w:sz w:val="22"/>
          <w:szCs w:val="22"/>
        </w:rPr>
        <w:t xml:space="preserve"> in addition to the </w:t>
      </w:r>
      <w:r w:rsidR="0B7F34EE" w:rsidRPr="5A84454D">
        <w:rPr>
          <w:rFonts w:asciiTheme="minorHAnsi" w:hAnsiTheme="minorHAnsi"/>
          <w:color w:val="000000" w:themeColor="text1"/>
          <w:sz w:val="22"/>
          <w:szCs w:val="22"/>
        </w:rPr>
        <w:t>readily packaged</w:t>
      </w:r>
      <w:r w:rsidR="001823E7" w:rsidRPr="5A84454D">
        <w:rPr>
          <w:rFonts w:asciiTheme="minorHAnsi" w:hAnsiTheme="minorHAnsi"/>
          <w:color w:val="000000" w:themeColor="text1"/>
          <w:sz w:val="22"/>
          <w:szCs w:val="22"/>
        </w:rPr>
        <w:t xml:space="preserve"> needle exchange packs.</w:t>
      </w:r>
    </w:p>
    <w:p w14:paraId="522350E3" w14:textId="77777777" w:rsidR="00C15358" w:rsidRPr="000100BB" w:rsidRDefault="00C15358" w:rsidP="00C1535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All equipment dispensed must be in accordance with LBTH DAAT approved equipment list and obtained through the LBTH contract</w:t>
      </w:r>
      <w:r w:rsidR="007C4344" w:rsidRPr="000100BB">
        <w:rPr>
          <w:rFonts w:asciiTheme="minorHAnsi" w:hAnsiTheme="minorHAnsi"/>
          <w:color w:val="000000" w:themeColor="text1"/>
          <w:sz w:val="22"/>
          <w:szCs w:val="22"/>
        </w:rPr>
        <w:t>ed</w:t>
      </w:r>
      <w:r w:rsidRPr="000100BB">
        <w:rPr>
          <w:rFonts w:asciiTheme="minorHAnsi" w:hAnsiTheme="minorHAnsi"/>
          <w:color w:val="000000" w:themeColor="text1"/>
          <w:sz w:val="22"/>
          <w:szCs w:val="22"/>
        </w:rPr>
        <w:t xml:space="preserve"> supplier. </w:t>
      </w:r>
    </w:p>
    <w:p w14:paraId="73DDFB09" w14:textId="77777777" w:rsidR="00C15358" w:rsidRPr="000100BB" w:rsidRDefault="00C15358" w:rsidP="00C1535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Supply of equipment will be in accordance with any protocols and guidelines disseminated by LBTH DAAT.</w:t>
      </w:r>
    </w:p>
    <w:p w14:paraId="7D3CF979" w14:textId="77777777" w:rsidR="00F426EF" w:rsidRPr="000100BB" w:rsidRDefault="00F426EF"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will</w:t>
      </w:r>
      <w:r w:rsidR="003C5295" w:rsidRPr="000100BB">
        <w:rPr>
          <w:rFonts w:asciiTheme="minorHAnsi" w:hAnsiTheme="minorHAnsi"/>
          <w:color w:val="000000" w:themeColor="text1"/>
          <w:sz w:val="22"/>
          <w:szCs w:val="22"/>
        </w:rPr>
        <w:t xml:space="preserve"> be responsible for</w:t>
      </w:r>
      <w:r w:rsidRPr="000100BB">
        <w:rPr>
          <w:rFonts w:asciiTheme="minorHAnsi" w:hAnsiTheme="minorHAnsi"/>
          <w:color w:val="000000" w:themeColor="text1"/>
          <w:sz w:val="22"/>
          <w:szCs w:val="22"/>
        </w:rPr>
        <w:t xml:space="preserve"> order</w:t>
      </w:r>
      <w:r w:rsidR="003C5295" w:rsidRPr="000100BB">
        <w:rPr>
          <w:rFonts w:asciiTheme="minorHAnsi" w:hAnsiTheme="minorHAnsi"/>
          <w:color w:val="000000" w:themeColor="text1"/>
          <w:sz w:val="22"/>
          <w:szCs w:val="22"/>
        </w:rPr>
        <w:t>ing</w:t>
      </w:r>
      <w:r w:rsidRPr="000100BB">
        <w:rPr>
          <w:rFonts w:asciiTheme="minorHAnsi" w:hAnsiTheme="minorHAnsi"/>
          <w:color w:val="000000" w:themeColor="text1"/>
          <w:sz w:val="22"/>
          <w:szCs w:val="22"/>
        </w:rPr>
        <w:t xml:space="preserve"> its own stock of needle exchange packs</w:t>
      </w:r>
      <w:r w:rsidR="001823E7" w:rsidRPr="000100BB">
        <w:rPr>
          <w:rFonts w:asciiTheme="minorHAnsi" w:hAnsiTheme="minorHAnsi"/>
          <w:color w:val="000000" w:themeColor="text1"/>
          <w:sz w:val="22"/>
          <w:szCs w:val="22"/>
        </w:rPr>
        <w:t>, foil and sharps containers</w:t>
      </w:r>
      <w:r w:rsidRPr="000100BB">
        <w:rPr>
          <w:rFonts w:asciiTheme="minorHAnsi" w:hAnsiTheme="minorHAnsi"/>
          <w:color w:val="000000" w:themeColor="text1"/>
          <w:sz w:val="22"/>
          <w:szCs w:val="22"/>
        </w:rPr>
        <w:t xml:space="preserve"> </w:t>
      </w:r>
      <w:r w:rsidR="00AE7929" w:rsidRPr="000100BB">
        <w:rPr>
          <w:rFonts w:asciiTheme="minorHAnsi" w:hAnsiTheme="minorHAnsi"/>
          <w:color w:val="000000" w:themeColor="text1"/>
          <w:sz w:val="22"/>
          <w:szCs w:val="22"/>
        </w:rPr>
        <w:t xml:space="preserve">through the LBTH dedicated contract </w:t>
      </w:r>
      <w:r w:rsidRPr="000100BB">
        <w:rPr>
          <w:rFonts w:asciiTheme="minorHAnsi" w:hAnsiTheme="minorHAnsi"/>
          <w:color w:val="000000" w:themeColor="text1"/>
          <w:sz w:val="22"/>
          <w:szCs w:val="22"/>
        </w:rPr>
        <w:t xml:space="preserve">and ensure appropriate stock levels at all times.  </w:t>
      </w:r>
    </w:p>
    <w:p w14:paraId="5D01530A" w14:textId="77777777" w:rsidR="004B4848" w:rsidRPr="000100BB" w:rsidRDefault="004B4848"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Details of the needle exchange equipment supplier and how to order stock will be provided by the DAAT. </w:t>
      </w:r>
    </w:p>
    <w:p w14:paraId="7CC4F1F7" w14:textId="77777777" w:rsidR="00BC732F" w:rsidRPr="000100BB" w:rsidRDefault="00BC732F" w:rsidP="00BC732F">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w:t>
      </w:r>
      <w:r w:rsidR="001823E7" w:rsidRPr="000100BB">
        <w:rPr>
          <w:rFonts w:asciiTheme="minorHAnsi" w:hAnsiTheme="minorHAnsi"/>
          <w:color w:val="000000" w:themeColor="text1"/>
          <w:sz w:val="22"/>
          <w:szCs w:val="22"/>
        </w:rPr>
        <w:t>he cost of needle exchange equipment</w:t>
      </w:r>
      <w:r w:rsidRPr="000100BB">
        <w:rPr>
          <w:rFonts w:asciiTheme="minorHAnsi" w:hAnsiTheme="minorHAnsi"/>
          <w:color w:val="000000" w:themeColor="text1"/>
          <w:sz w:val="22"/>
          <w:szCs w:val="22"/>
        </w:rPr>
        <w:t xml:space="preserve"> will be met by LBTH Drug &amp; Alcohol Action Team.  </w:t>
      </w:r>
    </w:p>
    <w:p w14:paraId="2504030B" w14:textId="77777777" w:rsidR="003C5295" w:rsidRPr="000100BB" w:rsidRDefault="003C5295"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The Pharmacy </w:t>
      </w:r>
      <w:r w:rsidR="00427F2E" w:rsidRPr="000100BB">
        <w:rPr>
          <w:rFonts w:asciiTheme="minorHAnsi" w:hAnsiTheme="minorHAnsi"/>
          <w:color w:val="000000" w:themeColor="text1"/>
          <w:sz w:val="22"/>
          <w:szCs w:val="22"/>
        </w:rPr>
        <w:t>must</w:t>
      </w:r>
      <w:r w:rsidRPr="000100BB">
        <w:rPr>
          <w:rFonts w:asciiTheme="minorHAnsi" w:hAnsiTheme="minorHAnsi"/>
          <w:color w:val="000000" w:themeColor="text1"/>
          <w:sz w:val="22"/>
          <w:szCs w:val="22"/>
        </w:rPr>
        <w:t xml:space="preserve"> ensure needle exchange stocks are stored appropriately in a safe and sterile space.</w:t>
      </w:r>
      <w:r w:rsidR="00DA45BE" w:rsidRPr="000100BB">
        <w:rPr>
          <w:rFonts w:asciiTheme="minorHAnsi" w:hAnsiTheme="minorHAnsi"/>
          <w:color w:val="000000" w:themeColor="text1"/>
          <w:sz w:val="22"/>
          <w:szCs w:val="22"/>
        </w:rPr>
        <w:t xml:space="preserve"> </w:t>
      </w:r>
    </w:p>
    <w:p w14:paraId="052B3BEE" w14:textId="77777777" w:rsidR="00F426EF" w:rsidRPr="000100BB" w:rsidRDefault="00AE7929"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Needle excha</w:t>
      </w:r>
      <w:r w:rsidR="003C5295" w:rsidRPr="000100BB">
        <w:rPr>
          <w:rFonts w:asciiTheme="minorHAnsi" w:hAnsiTheme="minorHAnsi"/>
          <w:color w:val="000000" w:themeColor="text1"/>
          <w:sz w:val="22"/>
          <w:szCs w:val="22"/>
        </w:rPr>
        <w:t xml:space="preserve">nge </w:t>
      </w:r>
      <w:r w:rsidR="001823E7" w:rsidRPr="000100BB">
        <w:rPr>
          <w:rFonts w:asciiTheme="minorHAnsi" w:hAnsiTheme="minorHAnsi"/>
          <w:color w:val="000000" w:themeColor="text1"/>
          <w:sz w:val="22"/>
          <w:szCs w:val="22"/>
        </w:rPr>
        <w:t>paraphernalia or ‘works’</w:t>
      </w:r>
      <w:r w:rsidR="003C5295" w:rsidRPr="000100BB">
        <w:rPr>
          <w:rFonts w:asciiTheme="minorHAnsi" w:hAnsiTheme="minorHAnsi"/>
          <w:color w:val="000000" w:themeColor="text1"/>
          <w:sz w:val="22"/>
          <w:szCs w:val="22"/>
        </w:rPr>
        <w:t xml:space="preserve"> will</w:t>
      </w:r>
      <w:r w:rsidRPr="000100BB">
        <w:rPr>
          <w:rFonts w:asciiTheme="minorHAnsi" w:hAnsiTheme="minorHAnsi"/>
          <w:color w:val="000000" w:themeColor="text1"/>
          <w:sz w:val="22"/>
          <w:szCs w:val="22"/>
        </w:rPr>
        <w:t xml:space="preserve"> be issued to the service user free of charge</w:t>
      </w:r>
      <w:r w:rsidR="001142D5" w:rsidRPr="000100BB">
        <w:rPr>
          <w:rFonts w:asciiTheme="minorHAnsi" w:hAnsiTheme="minorHAnsi"/>
          <w:color w:val="000000" w:themeColor="text1"/>
          <w:sz w:val="22"/>
          <w:szCs w:val="22"/>
        </w:rPr>
        <w:t>, i.e. clients will not be asked to pay a fee for any equipment they obtain</w:t>
      </w:r>
      <w:r w:rsidRPr="000100BB">
        <w:rPr>
          <w:rFonts w:asciiTheme="minorHAnsi" w:hAnsiTheme="minorHAnsi"/>
          <w:color w:val="000000" w:themeColor="text1"/>
          <w:sz w:val="22"/>
          <w:szCs w:val="22"/>
        </w:rPr>
        <w:t>.</w:t>
      </w:r>
    </w:p>
    <w:p w14:paraId="75B322D8" w14:textId="77777777" w:rsidR="00AE7929" w:rsidRPr="000100BB" w:rsidRDefault="00AE7929"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Service users may obtain more than one pack per visit. However, requests for </w:t>
      </w:r>
      <w:r w:rsidR="000F42B0">
        <w:rPr>
          <w:rFonts w:asciiTheme="minorHAnsi" w:hAnsiTheme="minorHAnsi"/>
          <w:color w:val="000000" w:themeColor="text1"/>
          <w:sz w:val="22"/>
          <w:szCs w:val="22"/>
        </w:rPr>
        <w:t>5 or more</w:t>
      </w:r>
      <w:r w:rsidRPr="000100BB">
        <w:rPr>
          <w:rFonts w:asciiTheme="minorHAnsi" w:hAnsiTheme="minorHAnsi"/>
          <w:color w:val="000000" w:themeColor="text1"/>
          <w:sz w:val="22"/>
          <w:szCs w:val="22"/>
        </w:rPr>
        <w:t xml:space="preserve"> packs are to be </w:t>
      </w:r>
      <w:r w:rsidR="00C15358" w:rsidRPr="000100BB">
        <w:rPr>
          <w:rFonts w:asciiTheme="minorHAnsi" w:hAnsiTheme="minorHAnsi"/>
          <w:color w:val="000000" w:themeColor="text1"/>
          <w:sz w:val="22"/>
          <w:szCs w:val="22"/>
        </w:rPr>
        <w:t>at the pharmacist’s discretion</w:t>
      </w:r>
      <w:r w:rsidRPr="000100BB">
        <w:rPr>
          <w:rFonts w:asciiTheme="minorHAnsi" w:hAnsiTheme="minorHAnsi"/>
          <w:color w:val="000000" w:themeColor="text1"/>
          <w:sz w:val="22"/>
          <w:szCs w:val="22"/>
        </w:rPr>
        <w:t xml:space="preserve">. Clients requesting a large number of packs should be encouraged to </w:t>
      </w:r>
      <w:r w:rsidR="003C5295" w:rsidRPr="000100BB">
        <w:rPr>
          <w:rFonts w:asciiTheme="minorHAnsi" w:hAnsiTheme="minorHAnsi"/>
          <w:color w:val="000000" w:themeColor="text1"/>
          <w:sz w:val="22"/>
          <w:szCs w:val="22"/>
        </w:rPr>
        <w:t xml:space="preserve">return to the Pharmacy and </w:t>
      </w:r>
      <w:r w:rsidR="006A788D" w:rsidRPr="000100BB">
        <w:rPr>
          <w:rFonts w:asciiTheme="minorHAnsi" w:hAnsiTheme="minorHAnsi"/>
          <w:color w:val="000000" w:themeColor="text1"/>
          <w:sz w:val="22"/>
          <w:szCs w:val="22"/>
        </w:rPr>
        <w:t>should be sign</w:t>
      </w:r>
      <w:r w:rsidR="004B4848" w:rsidRPr="000100BB">
        <w:rPr>
          <w:rFonts w:asciiTheme="minorHAnsi" w:hAnsiTheme="minorHAnsi"/>
          <w:color w:val="000000" w:themeColor="text1"/>
          <w:sz w:val="22"/>
          <w:szCs w:val="22"/>
        </w:rPr>
        <w:t xml:space="preserve">posted to </w:t>
      </w:r>
      <w:r w:rsidR="002D0CAC" w:rsidRPr="000100BB">
        <w:rPr>
          <w:rFonts w:asciiTheme="minorHAnsi" w:hAnsiTheme="minorHAnsi"/>
          <w:color w:val="000000" w:themeColor="text1"/>
          <w:sz w:val="22"/>
          <w:szCs w:val="22"/>
        </w:rPr>
        <w:t xml:space="preserve">Reset </w:t>
      </w:r>
      <w:r w:rsidR="004B4848" w:rsidRPr="000100BB">
        <w:rPr>
          <w:rFonts w:asciiTheme="minorHAnsi" w:hAnsiTheme="minorHAnsi"/>
          <w:color w:val="000000" w:themeColor="text1"/>
          <w:sz w:val="22"/>
          <w:szCs w:val="22"/>
        </w:rPr>
        <w:t>Treatment Service and encouraged to engage in treatment.</w:t>
      </w:r>
    </w:p>
    <w:p w14:paraId="03648FC8" w14:textId="77777777" w:rsidR="00AE7929" w:rsidRPr="000100BB" w:rsidRDefault="00AE7929"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Service users requesting packs for peers may obtain more than one pack per visit. However, they should be encouraged to accompany their peers to obtain their own packs and refrain from sharing any equipment.</w:t>
      </w:r>
    </w:p>
    <w:p w14:paraId="0ED88199" w14:textId="77777777" w:rsidR="00AE7929" w:rsidRPr="000100BB" w:rsidRDefault="00A745F7"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will encourage the return of used equipment via sharps containers</w:t>
      </w:r>
      <w:r w:rsidR="00C15358" w:rsidRPr="000100BB">
        <w:rPr>
          <w:rFonts w:asciiTheme="minorHAnsi" w:hAnsiTheme="minorHAnsi"/>
          <w:color w:val="000000" w:themeColor="text1"/>
          <w:sz w:val="22"/>
          <w:szCs w:val="22"/>
        </w:rPr>
        <w:t xml:space="preserve"> (included in the packs)</w:t>
      </w:r>
      <w:r w:rsidR="00AE7929" w:rsidRPr="000100BB">
        <w:rPr>
          <w:rFonts w:asciiTheme="minorHAnsi" w:hAnsiTheme="minorHAnsi"/>
          <w:color w:val="000000" w:themeColor="text1"/>
          <w:sz w:val="22"/>
          <w:szCs w:val="22"/>
        </w:rPr>
        <w:t xml:space="preserve">. Staff delivering the service </w:t>
      </w:r>
      <w:r w:rsidR="00427F2E" w:rsidRPr="000100BB">
        <w:rPr>
          <w:rFonts w:asciiTheme="minorHAnsi" w:hAnsiTheme="minorHAnsi"/>
          <w:color w:val="000000" w:themeColor="text1"/>
          <w:sz w:val="22"/>
          <w:szCs w:val="22"/>
        </w:rPr>
        <w:t>must</w:t>
      </w:r>
      <w:r w:rsidR="00AE7929" w:rsidRPr="000100BB">
        <w:rPr>
          <w:rFonts w:asciiTheme="minorHAnsi" w:hAnsiTheme="minorHAnsi"/>
          <w:color w:val="000000" w:themeColor="text1"/>
          <w:sz w:val="22"/>
          <w:szCs w:val="22"/>
        </w:rPr>
        <w:t xml:space="preserve"> raise this every time equipment is dispensed. </w:t>
      </w:r>
    </w:p>
    <w:p w14:paraId="3CE3DAB4" w14:textId="77777777" w:rsidR="001823E7" w:rsidRPr="000100BB" w:rsidRDefault="001823E7"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Sharps and used equipment returned in other forms that are deemed unsafe by the Pharmacist or could cause injury (e.g. sharps in a plastic bag or a bottle) should not be</w:t>
      </w:r>
      <w:r w:rsidR="00427F2E" w:rsidRPr="000100BB">
        <w:rPr>
          <w:rFonts w:asciiTheme="minorHAnsi" w:hAnsiTheme="minorHAnsi"/>
          <w:color w:val="000000" w:themeColor="text1"/>
          <w:sz w:val="22"/>
          <w:szCs w:val="22"/>
        </w:rPr>
        <w:t xml:space="preserve"> accepted. The Pharmacist must</w:t>
      </w:r>
      <w:r w:rsidRPr="000100BB">
        <w:rPr>
          <w:rFonts w:asciiTheme="minorHAnsi" w:hAnsiTheme="minorHAnsi"/>
          <w:color w:val="000000" w:themeColor="text1"/>
          <w:sz w:val="22"/>
          <w:szCs w:val="22"/>
        </w:rPr>
        <w:t xml:space="preserve"> provide the service use</w:t>
      </w:r>
      <w:r w:rsidR="00721CF6" w:rsidRPr="000100BB">
        <w:rPr>
          <w:rFonts w:asciiTheme="minorHAnsi" w:hAnsiTheme="minorHAnsi"/>
          <w:color w:val="000000" w:themeColor="text1"/>
          <w:sz w:val="22"/>
          <w:szCs w:val="22"/>
        </w:rPr>
        <w:t xml:space="preserve">r with a </w:t>
      </w:r>
      <w:r w:rsidRPr="000100BB">
        <w:rPr>
          <w:rFonts w:asciiTheme="minorHAnsi" w:hAnsiTheme="minorHAnsi"/>
          <w:color w:val="000000" w:themeColor="text1"/>
          <w:sz w:val="22"/>
          <w:szCs w:val="22"/>
        </w:rPr>
        <w:t>suitable sharps bin and encour</w:t>
      </w:r>
      <w:r w:rsidR="00D857CB" w:rsidRPr="000100BB">
        <w:rPr>
          <w:rFonts w:asciiTheme="minorHAnsi" w:hAnsiTheme="minorHAnsi"/>
          <w:color w:val="000000" w:themeColor="text1"/>
          <w:sz w:val="22"/>
          <w:szCs w:val="22"/>
        </w:rPr>
        <w:t xml:space="preserve">age them to place the equipment in the container before this is collected. </w:t>
      </w:r>
    </w:p>
    <w:p w14:paraId="07C299A8" w14:textId="77777777" w:rsidR="00AE7929" w:rsidRPr="000100BB" w:rsidRDefault="00AE7929"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should strive to maximise return rates but must not refuse to supply equipment on the bas</w:t>
      </w:r>
      <w:r w:rsidR="00A745F7" w:rsidRPr="000100BB">
        <w:rPr>
          <w:rFonts w:asciiTheme="minorHAnsi" w:hAnsiTheme="minorHAnsi"/>
          <w:color w:val="000000" w:themeColor="text1"/>
          <w:sz w:val="22"/>
          <w:szCs w:val="22"/>
        </w:rPr>
        <w:t>i</w:t>
      </w:r>
      <w:r w:rsidRPr="000100BB">
        <w:rPr>
          <w:rFonts w:asciiTheme="minorHAnsi" w:hAnsiTheme="minorHAnsi"/>
          <w:color w:val="000000" w:themeColor="text1"/>
          <w:sz w:val="22"/>
          <w:szCs w:val="22"/>
        </w:rPr>
        <w:t>s of the return rate.</w:t>
      </w:r>
      <w:r w:rsidR="001823E7" w:rsidRPr="000100BB">
        <w:rPr>
          <w:rFonts w:asciiTheme="minorHAnsi" w:hAnsiTheme="minorHAnsi"/>
          <w:color w:val="000000" w:themeColor="text1"/>
          <w:sz w:val="22"/>
          <w:szCs w:val="22"/>
        </w:rPr>
        <w:t xml:space="preserve"> Failure to return equipment does not disqualify the service user from receiving further equipment.</w:t>
      </w:r>
    </w:p>
    <w:p w14:paraId="4E0B3461" w14:textId="77777777" w:rsidR="00AE7929" w:rsidRPr="000100BB" w:rsidRDefault="00AE7929"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Pharmacists retain the right to</w:t>
      </w:r>
      <w:r w:rsidR="00486B98" w:rsidRPr="000100BB">
        <w:rPr>
          <w:rFonts w:asciiTheme="minorHAnsi" w:hAnsiTheme="minorHAnsi"/>
          <w:color w:val="000000" w:themeColor="text1"/>
          <w:sz w:val="22"/>
          <w:szCs w:val="22"/>
        </w:rPr>
        <w:t xml:space="preserve"> refuse or serve a service user, for example, in the event of unacceptable behaviour</w:t>
      </w:r>
    </w:p>
    <w:p w14:paraId="6874155E" w14:textId="77777777" w:rsidR="005E3785" w:rsidRPr="000100BB" w:rsidRDefault="001A6C58" w:rsidP="005E378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Pharmacy staff </w:t>
      </w:r>
      <w:r w:rsidR="00427F2E" w:rsidRPr="000100BB">
        <w:rPr>
          <w:rFonts w:asciiTheme="minorHAnsi" w:hAnsiTheme="minorHAnsi"/>
          <w:color w:val="000000" w:themeColor="text1"/>
          <w:sz w:val="22"/>
          <w:szCs w:val="22"/>
        </w:rPr>
        <w:t xml:space="preserve">must </w:t>
      </w:r>
      <w:r w:rsidRPr="000100BB">
        <w:rPr>
          <w:rFonts w:asciiTheme="minorHAnsi" w:hAnsiTheme="minorHAnsi"/>
          <w:color w:val="000000" w:themeColor="text1"/>
          <w:sz w:val="22"/>
          <w:szCs w:val="22"/>
        </w:rPr>
        <w:t xml:space="preserve">be aware of and </w:t>
      </w:r>
      <w:r w:rsidR="00CF5BB0" w:rsidRPr="000100BB">
        <w:rPr>
          <w:rFonts w:asciiTheme="minorHAnsi" w:hAnsiTheme="minorHAnsi"/>
          <w:color w:val="000000" w:themeColor="text1"/>
          <w:sz w:val="22"/>
          <w:szCs w:val="22"/>
        </w:rPr>
        <w:t>will inform service user</w:t>
      </w:r>
      <w:r w:rsidR="00721CF6" w:rsidRPr="000100BB">
        <w:rPr>
          <w:rFonts w:asciiTheme="minorHAnsi" w:hAnsiTheme="minorHAnsi"/>
          <w:color w:val="000000" w:themeColor="text1"/>
          <w:sz w:val="22"/>
          <w:szCs w:val="22"/>
        </w:rPr>
        <w:t>s</w:t>
      </w:r>
      <w:r w:rsidR="00CF5BB0" w:rsidRPr="000100BB">
        <w:rPr>
          <w:rFonts w:asciiTheme="minorHAnsi" w:hAnsiTheme="minorHAnsi"/>
          <w:color w:val="000000" w:themeColor="text1"/>
          <w:sz w:val="22"/>
          <w:szCs w:val="22"/>
        </w:rPr>
        <w:t xml:space="preserve"> of structured treatment services available across the Borough and signpost to </w:t>
      </w:r>
      <w:r w:rsidR="002D0CAC" w:rsidRPr="000100BB">
        <w:rPr>
          <w:rFonts w:asciiTheme="minorHAnsi" w:hAnsiTheme="minorHAnsi"/>
          <w:color w:val="000000" w:themeColor="text1"/>
          <w:sz w:val="22"/>
          <w:szCs w:val="22"/>
        </w:rPr>
        <w:t>Reset</w:t>
      </w:r>
      <w:r w:rsidR="00CF5BB0" w:rsidRPr="000100BB">
        <w:rPr>
          <w:rFonts w:asciiTheme="minorHAnsi" w:hAnsiTheme="minorHAnsi"/>
          <w:color w:val="000000" w:themeColor="text1"/>
          <w:sz w:val="22"/>
          <w:szCs w:val="22"/>
        </w:rPr>
        <w:t xml:space="preserve"> Service as appropriate. </w:t>
      </w:r>
    </w:p>
    <w:p w14:paraId="2C0FE8AD" w14:textId="6FCDD37E" w:rsidR="00CF5BB0" w:rsidRPr="000100BB" w:rsidRDefault="00CF5BB0" w:rsidP="0068391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Details of referrals made to </w:t>
      </w:r>
      <w:r w:rsidR="002D0CAC" w:rsidRPr="000100BB">
        <w:rPr>
          <w:rFonts w:asciiTheme="minorHAnsi" w:hAnsiTheme="minorHAnsi"/>
          <w:color w:val="000000" w:themeColor="text1"/>
          <w:sz w:val="22"/>
          <w:szCs w:val="22"/>
        </w:rPr>
        <w:t xml:space="preserve">Reset </w:t>
      </w:r>
      <w:r w:rsidR="00721CF6" w:rsidRPr="000100BB">
        <w:rPr>
          <w:rFonts w:asciiTheme="minorHAnsi" w:hAnsiTheme="minorHAnsi"/>
          <w:color w:val="000000" w:themeColor="text1"/>
          <w:sz w:val="22"/>
          <w:szCs w:val="22"/>
        </w:rPr>
        <w:t>Treatment Service</w:t>
      </w:r>
      <w:r w:rsidRPr="000100BB">
        <w:rPr>
          <w:rFonts w:asciiTheme="minorHAnsi" w:hAnsiTheme="minorHAnsi"/>
          <w:color w:val="000000" w:themeColor="text1"/>
          <w:sz w:val="22"/>
          <w:szCs w:val="22"/>
        </w:rPr>
        <w:t xml:space="preserve"> </w:t>
      </w:r>
      <w:r w:rsidR="00DA45BE" w:rsidRPr="000100BB">
        <w:rPr>
          <w:rFonts w:asciiTheme="minorHAnsi" w:hAnsiTheme="minorHAnsi"/>
          <w:color w:val="000000" w:themeColor="text1"/>
          <w:sz w:val="22"/>
          <w:szCs w:val="22"/>
        </w:rPr>
        <w:t>must</w:t>
      </w:r>
      <w:r w:rsidRPr="000100BB">
        <w:rPr>
          <w:rFonts w:asciiTheme="minorHAnsi" w:hAnsiTheme="minorHAnsi"/>
          <w:color w:val="000000" w:themeColor="text1"/>
          <w:sz w:val="22"/>
          <w:szCs w:val="22"/>
        </w:rPr>
        <w:t xml:space="preserve"> be recorded</w:t>
      </w:r>
      <w:r w:rsidR="00FD0CB5">
        <w:rPr>
          <w:rFonts w:asciiTheme="minorHAnsi" w:hAnsiTheme="minorHAnsi"/>
          <w:color w:val="000000" w:themeColor="text1"/>
          <w:sz w:val="22"/>
          <w:szCs w:val="22"/>
        </w:rPr>
        <w:t xml:space="preserve"> and shared with the DAAT in order to qualify for PbR payments (</w:t>
      </w:r>
      <w:r w:rsidR="00B56E3F">
        <w:rPr>
          <w:rFonts w:asciiTheme="minorHAnsi" w:hAnsiTheme="minorHAnsi"/>
          <w:color w:val="000000" w:themeColor="text1"/>
          <w:sz w:val="22"/>
          <w:szCs w:val="22"/>
        </w:rPr>
        <w:t>10 clients engaged per annum)</w:t>
      </w:r>
      <w:r w:rsidRPr="000100BB">
        <w:rPr>
          <w:rFonts w:asciiTheme="minorHAnsi" w:hAnsiTheme="minorHAnsi"/>
          <w:color w:val="000000" w:themeColor="text1"/>
          <w:sz w:val="22"/>
          <w:szCs w:val="22"/>
        </w:rPr>
        <w:t>.</w:t>
      </w:r>
    </w:p>
    <w:p w14:paraId="4CE8DE61" w14:textId="77777777" w:rsidR="00CF0567" w:rsidRPr="000100BB" w:rsidRDefault="00CF5BB0" w:rsidP="009D435A">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Pharmacy staff </w:t>
      </w:r>
      <w:r w:rsidR="00DA45BE" w:rsidRPr="000100BB">
        <w:rPr>
          <w:rFonts w:asciiTheme="minorHAnsi" w:hAnsiTheme="minorHAnsi"/>
          <w:color w:val="000000" w:themeColor="text1"/>
          <w:sz w:val="22"/>
          <w:szCs w:val="22"/>
        </w:rPr>
        <w:t xml:space="preserve">must </w:t>
      </w:r>
      <w:r w:rsidRPr="000100BB">
        <w:rPr>
          <w:rFonts w:asciiTheme="minorHAnsi" w:hAnsiTheme="minorHAnsi"/>
          <w:color w:val="000000" w:themeColor="text1"/>
          <w:sz w:val="22"/>
          <w:szCs w:val="22"/>
        </w:rPr>
        <w:t xml:space="preserve">receive appropriate needle exchange and harm reduction training to enable them to deal with requests safely, sensitively and appropriately. </w:t>
      </w:r>
    </w:p>
    <w:p w14:paraId="54306C7B" w14:textId="77777777" w:rsidR="00CF5BB0" w:rsidRPr="000100BB" w:rsidRDefault="00025944" w:rsidP="00CF5BB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Service users, particularly those presenting for the first time, </w:t>
      </w:r>
      <w:r w:rsidR="00427F2E" w:rsidRPr="000100BB">
        <w:rPr>
          <w:rFonts w:asciiTheme="minorHAnsi" w:hAnsiTheme="minorHAnsi"/>
          <w:color w:val="000000" w:themeColor="text1"/>
          <w:sz w:val="22"/>
          <w:szCs w:val="22"/>
        </w:rPr>
        <w:t>must</w:t>
      </w:r>
      <w:r w:rsidRPr="000100BB">
        <w:rPr>
          <w:rFonts w:asciiTheme="minorHAnsi" w:hAnsiTheme="minorHAnsi"/>
          <w:color w:val="000000" w:themeColor="text1"/>
          <w:sz w:val="22"/>
          <w:szCs w:val="22"/>
        </w:rPr>
        <w:t xml:space="preserve"> be provided with harm </w:t>
      </w:r>
      <w:r w:rsidR="00C61971" w:rsidRPr="000100BB">
        <w:rPr>
          <w:rFonts w:asciiTheme="minorHAnsi" w:hAnsiTheme="minorHAnsi"/>
          <w:color w:val="000000" w:themeColor="text1"/>
          <w:sz w:val="22"/>
          <w:szCs w:val="22"/>
        </w:rPr>
        <w:t>reduction advice and informed of local drug and alcohol treatment services. Harm reduction advice must include as a minimum:</w:t>
      </w:r>
    </w:p>
    <w:p w14:paraId="76AE42E5" w14:textId="77777777" w:rsidR="00C61971" w:rsidRPr="000100BB" w:rsidRDefault="00C61971" w:rsidP="00C61971">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Explanation of the type of equipment provided in needle exchange packs</w:t>
      </w:r>
    </w:p>
    <w:p w14:paraId="69045AD6" w14:textId="77777777" w:rsidR="00C61971" w:rsidRPr="000100BB" w:rsidRDefault="00C61971" w:rsidP="00C61971">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Safe injecting practice</w:t>
      </w:r>
    </w:p>
    <w:p w14:paraId="223B1D6E" w14:textId="77777777" w:rsidR="00C61971" w:rsidRPr="000100BB" w:rsidRDefault="00C61971" w:rsidP="00C61971">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What to do in the case of an overdose</w:t>
      </w:r>
    </w:p>
    <w:p w14:paraId="7C82FA69" w14:textId="77777777" w:rsidR="00283D5E" w:rsidRPr="000100BB" w:rsidRDefault="00283D5E" w:rsidP="00C61971">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Information about the use of naloxone/ prenoxad</w:t>
      </w:r>
      <w:r w:rsidR="007B4E74" w:rsidRPr="000100BB">
        <w:rPr>
          <w:rFonts w:asciiTheme="minorHAnsi" w:hAnsiTheme="minorHAnsi"/>
          <w:color w:val="000000" w:themeColor="text1"/>
          <w:sz w:val="22"/>
          <w:szCs w:val="22"/>
        </w:rPr>
        <w:t xml:space="preserve"> and offer of kit</w:t>
      </w:r>
    </w:p>
    <w:p w14:paraId="78AC08D9" w14:textId="77777777" w:rsidR="00C61971" w:rsidRPr="000100BB" w:rsidRDefault="00C61971" w:rsidP="00C61971">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Information regarding blood borne viruses</w:t>
      </w:r>
      <w:r w:rsidR="00283D5E" w:rsidRPr="000100BB">
        <w:rPr>
          <w:rFonts w:asciiTheme="minorHAnsi" w:hAnsiTheme="minorHAnsi"/>
          <w:color w:val="000000" w:themeColor="text1"/>
          <w:sz w:val="22"/>
          <w:szCs w:val="22"/>
        </w:rPr>
        <w:t>, testing as part of the BBV</w:t>
      </w:r>
      <w:r w:rsidR="007B4E74" w:rsidRPr="000100BB">
        <w:rPr>
          <w:rFonts w:asciiTheme="minorHAnsi" w:hAnsiTheme="minorHAnsi"/>
          <w:color w:val="000000" w:themeColor="text1"/>
          <w:sz w:val="22"/>
          <w:szCs w:val="22"/>
        </w:rPr>
        <w:t xml:space="preserve"> service offer</w:t>
      </w:r>
      <w:r w:rsidR="00283D5E" w:rsidRPr="000100BB">
        <w:rPr>
          <w:rFonts w:asciiTheme="minorHAnsi" w:hAnsiTheme="minorHAnsi"/>
          <w:color w:val="000000" w:themeColor="text1"/>
          <w:sz w:val="22"/>
          <w:szCs w:val="22"/>
        </w:rPr>
        <w:t xml:space="preserve"> or</w:t>
      </w:r>
      <w:r w:rsidRPr="000100BB">
        <w:rPr>
          <w:rFonts w:asciiTheme="minorHAnsi" w:hAnsiTheme="minorHAnsi"/>
          <w:color w:val="000000" w:themeColor="text1"/>
          <w:sz w:val="22"/>
          <w:szCs w:val="22"/>
        </w:rPr>
        <w:t xml:space="preserve"> signposting to the BBV team for screening and treatment</w:t>
      </w:r>
    </w:p>
    <w:p w14:paraId="3706A3DA" w14:textId="77777777" w:rsidR="00C61971" w:rsidRPr="000100BB" w:rsidRDefault="00C61971" w:rsidP="00C61971">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Information regarding structured treatment </w:t>
      </w:r>
      <w:r w:rsidR="00283D5E" w:rsidRPr="000100BB">
        <w:rPr>
          <w:rFonts w:asciiTheme="minorHAnsi" w:hAnsiTheme="minorHAnsi"/>
          <w:color w:val="000000" w:themeColor="text1"/>
          <w:sz w:val="22"/>
          <w:szCs w:val="22"/>
        </w:rPr>
        <w:t xml:space="preserve">options </w:t>
      </w:r>
      <w:r w:rsidRPr="000100BB">
        <w:rPr>
          <w:rFonts w:asciiTheme="minorHAnsi" w:hAnsiTheme="minorHAnsi"/>
          <w:color w:val="000000" w:themeColor="text1"/>
          <w:sz w:val="22"/>
          <w:szCs w:val="22"/>
        </w:rPr>
        <w:t xml:space="preserve">in Tower Hamlets </w:t>
      </w:r>
      <w:r w:rsidR="006A788D" w:rsidRPr="000100BB">
        <w:rPr>
          <w:rFonts w:asciiTheme="minorHAnsi" w:hAnsiTheme="minorHAnsi"/>
          <w:color w:val="000000" w:themeColor="text1"/>
          <w:sz w:val="22"/>
          <w:szCs w:val="22"/>
        </w:rPr>
        <w:t xml:space="preserve">and how to access Reset </w:t>
      </w:r>
      <w:r w:rsidR="00283D5E" w:rsidRPr="000100BB">
        <w:rPr>
          <w:rFonts w:asciiTheme="minorHAnsi" w:hAnsiTheme="minorHAnsi"/>
          <w:color w:val="000000" w:themeColor="text1"/>
          <w:sz w:val="22"/>
          <w:szCs w:val="22"/>
        </w:rPr>
        <w:t xml:space="preserve">Treatment Service </w:t>
      </w:r>
    </w:p>
    <w:p w14:paraId="3276A4C8" w14:textId="77777777" w:rsidR="00C61971" w:rsidRPr="000100BB" w:rsidRDefault="005E3785" w:rsidP="00C61971">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Information about safely discarding of and returning used equipment</w:t>
      </w:r>
    </w:p>
    <w:p w14:paraId="3B3A74FB" w14:textId="77777777" w:rsidR="00EA4493" w:rsidRPr="000100BB" w:rsidRDefault="00EA4493" w:rsidP="5A84454D">
      <w:pPr>
        <w:pStyle w:val="NormalWeb"/>
        <w:numPr>
          <w:ilvl w:val="2"/>
          <w:numId w:val="5"/>
        </w:numPr>
        <w:shd w:val="clear" w:color="auto" w:fill="F6F6F6"/>
        <w:spacing w:line="360" w:lineRule="atLeast"/>
        <w:rPr>
          <w:rFonts w:asciiTheme="minorHAnsi" w:hAnsiTheme="minorHAnsi"/>
          <w:color w:val="000000" w:themeColor="text1"/>
          <w:sz w:val="22"/>
          <w:szCs w:val="22"/>
        </w:rPr>
      </w:pPr>
      <w:r w:rsidRPr="5A84454D">
        <w:rPr>
          <w:rFonts w:asciiTheme="minorHAnsi" w:hAnsiTheme="minorHAnsi"/>
          <w:color w:val="000000" w:themeColor="text1"/>
          <w:sz w:val="22"/>
          <w:szCs w:val="22"/>
        </w:rPr>
        <w:t>Information about the use of foil</w:t>
      </w:r>
    </w:p>
    <w:p w14:paraId="2EC29C04" w14:textId="30047684" w:rsidR="64090B7C" w:rsidRDefault="64090B7C" w:rsidP="5A84454D">
      <w:pPr>
        <w:pStyle w:val="NormalWeb"/>
        <w:numPr>
          <w:ilvl w:val="2"/>
          <w:numId w:val="5"/>
        </w:numPr>
        <w:shd w:val="clear" w:color="auto" w:fill="F6F6F6"/>
        <w:spacing w:line="360" w:lineRule="atLeast"/>
        <w:rPr>
          <w:rFonts w:asciiTheme="minorHAnsi" w:eastAsiaTheme="minorEastAsia" w:hAnsiTheme="minorHAnsi" w:cstheme="minorBidi"/>
          <w:color w:val="000000" w:themeColor="text1"/>
        </w:rPr>
      </w:pPr>
      <w:r w:rsidRPr="5A84454D">
        <w:rPr>
          <w:rFonts w:asciiTheme="minorHAnsi" w:hAnsiTheme="minorHAnsi"/>
          <w:color w:val="000000" w:themeColor="text1"/>
          <w:sz w:val="22"/>
          <w:szCs w:val="22"/>
        </w:rPr>
        <w:t xml:space="preserve">The Pharmacy will facilitate access to primary care and encourage registration with GP practice where appropriate (Tower Hamlets residents only). </w:t>
      </w:r>
      <w:r>
        <w:br/>
      </w:r>
    </w:p>
    <w:p w14:paraId="2B2B7081" w14:textId="77777777" w:rsidR="006D2363" w:rsidRPr="000100BB" w:rsidRDefault="006D2363" w:rsidP="006D2363">
      <w:pPr>
        <w:pStyle w:val="NormalWeb"/>
        <w:numPr>
          <w:ilvl w:val="0"/>
          <w:numId w:val="5"/>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Blood Borne Virus and Sexual Health Testing</w:t>
      </w:r>
    </w:p>
    <w:p w14:paraId="0AA2B89D" w14:textId="77777777" w:rsidR="007B1C16" w:rsidRPr="000100BB" w:rsidRDefault="007B1C16" w:rsidP="005E732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As part of our commitment</w:t>
      </w:r>
      <w:r w:rsidR="00504C94" w:rsidRPr="000100BB">
        <w:rPr>
          <w:rFonts w:asciiTheme="minorHAnsi" w:hAnsiTheme="minorHAnsi"/>
          <w:color w:val="000000" w:themeColor="text1"/>
          <w:sz w:val="22"/>
          <w:szCs w:val="22"/>
        </w:rPr>
        <w:t xml:space="preserve"> to improv</w:t>
      </w:r>
      <w:r w:rsidR="00BF4ABE" w:rsidRPr="000100BB">
        <w:rPr>
          <w:rFonts w:asciiTheme="minorHAnsi" w:hAnsiTheme="minorHAnsi"/>
          <w:color w:val="000000" w:themeColor="text1"/>
          <w:sz w:val="22"/>
          <w:szCs w:val="22"/>
        </w:rPr>
        <w:t>ing</w:t>
      </w:r>
      <w:r w:rsidR="00504C94" w:rsidRPr="000100BB">
        <w:rPr>
          <w:rFonts w:asciiTheme="minorHAnsi" w:hAnsiTheme="minorHAnsi"/>
          <w:color w:val="000000" w:themeColor="text1"/>
          <w:sz w:val="22"/>
          <w:szCs w:val="22"/>
        </w:rPr>
        <w:t xml:space="preserve"> health outcomes and engagement with substance misuse treatment, the Pharmacy will </w:t>
      </w:r>
      <w:r w:rsidR="00A06868" w:rsidRPr="000100BB">
        <w:rPr>
          <w:rFonts w:asciiTheme="minorHAnsi" w:hAnsiTheme="minorHAnsi"/>
          <w:color w:val="000000" w:themeColor="text1"/>
          <w:sz w:val="22"/>
          <w:szCs w:val="22"/>
        </w:rPr>
        <w:t xml:space="preserve">offer Blood Borne Virus </w:t>
      </w:r>
      <w:r w:rsidR="00104205" w:rsidRPr="000100BB">
        <w:rPr>
          <w:rFonts w:asciiTheme="minorHAnsi" w:hAnsiTheme="minorHAnsi"/>
          <w:color w:val="000000" w:themeColor="text1"/>
          <w:sz w:val="22"/>
          <w:szCs w:val="22"/>
        </w:rPr>
        <w:t xml:space="preserve">and Sexual Health </w:t>
      </w:r>
      <w:r w:rsidR="00A06868" w:rsidRPr="000100BB">
        <w:rPr>
          <w:rFonts w:asciiTheme="minorHAnsi" w:hAnsiTheme="minorHAnsi"/>
          <w:color w:val="000000" w:themeColor="text1"/>
          <w:sz w:val="22"/>
          <w:szCs w:val="22"/>
        </w:rPr>
        <w:t xml:space="preserve">support to clients accessing the needle exchange service. </w:t>
      </w:r>
    </w:p>
    <w:p w14:paraId="7F7A9EFD" w14:textId="77777777" w:rsidR="00422DC9" w:rsidRPr="000100BB" w:rsidRDefault="007B1C16" w:rsidP="005E732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The Pharmacy will </w:t>
      </w:r>
      <w:r w:rsidR="00954300" w:rsidRPr="000100BB">
        <w:rPr>
          <w:rFonts w:asciiTheme="minorHAnsi" w:hAnsiTheme="minorHAnsi"/>
          <w:color w:val="000000" w:themeColor="text1"/>
          <w:sz w:val="22"/>
          <w:szCs w:val="22"/>
        </w:rPr>
        <w:t>offer</w:t>
      </w:r>
      <w:r w:rsidRPr="000100BB">
        <w:rPr>
          <w:rFonts w:asciiTheme="minorHAnsi" w:hAnsiTheme="minorHAnsi"/>
          <w:color w:val="000000" w:themeColor="text1"/>
          <w:sz w:val="22"/>
          <w:szCs w:val="22"/>
        </w:rPr>
        <w:t xml:space="preserve"> </w:t>
      </w:r>
      <w:r w:rsidR="003C30AA" w:rsidRPr="000100BB">
        <w:rPr>
          <w:rFonts w:asciiTheme="minorHAnsi" w:hAnsiTheme="minorHAnsi"/>
          <w:color w:val="000000" w:themeColor="text1"/>
          <w:sz w:val="22"/>
          <w:szCs w:val="22"/>
        </w:rPr>
        <w:t xml:space="preserve">and facilitate </w:t>
      </w:r>
      <w:r w:rsidR="00E35951" w:rsidRPr="000100BB">
        <w:rPr>
          <w:rFonts w:asciiTheme="minorHAnsi" w:hAnsiTheme="minorHAnsi"/>
          <w:color w:val="000000" w:themeColor="text1"/>
          <w:sz w:val="22"/>
          <w:szCs w:val="22"/>
        </w:rPr>
        <w:t>testing for blood borne viruses</w:t>
      </w:r>
      <w:r w:rsidR="00BF4ABE" w:rsidRPr="000100BB">
        <w:rPr>
          <w:rFonts w:asciiTheme="minorHAnsi" w:hAnsiTheme="minorHAnsi"/>
          <w:color w:val="000000" w:themeColor="text1"/>
          <w:sz w:val="22"/>
          <w:szCs w:val="22"/>
        </w:rPr>
        <w:t xml:space="preserve"> (BBV)</w:t>
      </w:r>
      <w:r w:rsidR="00E35951" w:rsidRPr="000100BB">
        <w:rPr>
          <w:rFonts w:asciiTheme="minorHAnsi" w:hAnsiTheme="minorHAnsi"/>
          <w:color w:val="000000" w:themeColor="text1"/>
          <w:sz w:val="22"/>
          <w:szCs w:val="22"/>
        </w:rPr>
        <w:t xml:space="preserve"> and sexually transmitted </w:t>
      </w:r>
      <w:r w:rsidR="00104205" w:rsidRPr="000100BB">
        <w:rPr>
          <w:rFonts w:asciiTheme="minorHAnsi" w:hAnsiTheme="minorHAnsi"/>
          <w:color w:val="000000" w:themeColor="text1"/>
          <w:sz w:val="22"/>
          <w:szCs w:val="22"/>
        </w:rPr>
        <w:t>infections (S</w:t>
      </w:r>
      <w:r w:rsidR="00BF4ABE" w:rsidRPr="000100BB">
        <w:rPr>
          <w:rFonts w:asciiTheme="minorHAnsi" w:hAnsiTheme="minorHAnsi"/>
          <w:color w:val="000000" w:themeColor="text1"/>
          <w:sz w:val="22"/>
          <w:szCs w:val="22"/>
        </w:rPr>
        <w:t>TI),</w:t>
      </w:r>
      <w:r w:rsidR="00E35951" w:rsidRPr="000100BB">
        <w:rPr>
          <w:rFonts w:asciiTheme="minorHAnsi" w:hAnsiTheme="minorHAnsi"/>
          <w:color w:val="000000" w:themeColor="text1"/>
          <w:sz w:val="22"/>
          <w:szCs w:val="22"/>
        </w:rPr>
        <w:t xml:space="preserve"> in conjunction with the Public Health Sexual Health contract already being delivered in community pharmacies. </w:t>
      </w:r>
    </w:p>
    <w:p w14:paraId="06A9F7D3" w14:textId="77777777" w:rsidR="000615C0" w:rsidRPr="000100BB" w:rsidRDefault="000615C0" w:rsidP="005E732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will</w:t>
      </w:r>
      <w:r w:rsidR="00B12D18" w:rsidRPr="000100BB">
        <w:rPr>
          <w:rFonts w:asciiTheme="minorHAnsi" w:hAnsiTheme="minorHAnsi"/>
          <w:color w:val="000000" w:themeColor="text1"/>
          <w:sz w:val="22"/>
          <w:szCs w:val="22"/>
        </w:rPr>
        <w:t xml:space="preserve"> offer clients</w:t>
      </w:r>
      <w:r w:rsidR="00BF4ABE" w:rsidRPr="000100BB">
        <w:rPr>
          <w:rFonts w:asciiTheme="minorHAnsi" w:hAnsiTheme="minorHAnsi"/>
          <w:color w:val="000000" w:themeColor="text1"/>
          <w:sz w:val="22"/>
          <w:szCs w:val="22"/>
        </w:rPr>
        <w:t xml:space="preserve"> test</w:t>
      </w:r>
      <w:r w:rsidR="00B12D18" w:rsidRPr="000100BB">
        <w:rPr>
          <w:rFonts w:asciiTheme="minorHAnsi" w:hAnsiTheme="minorHAnsi"/>
          <w:color w:val="000000" w:themeColor="text1"/>
          <w:sz w:val="22"/>
          <w:szCs w:val="22"/>
        </w:rPr>
        <w:t>s</w:t>
      </w:r>
      <w:r w:rsidR="00BF4ABE" w:rsidRPr="000100BB">
        <w:rPr>
          <w:rFonts w:asciiTheme="minorHAnsi" w:hAnsiTheme="minorHAnsi"/>
          <w:color w:val="000000" w:themeColor="text1"/>
          <w:sz w:val="22"/>
          <w:szCs w:val="22"/>
        </w:rPr>
        <w:t xml:space="preserve"> </w:t>
      </w:r>
      <w:r w:rsidRPr="000100BB">
        <w:rPr>
          <w:rFonts w:asciiTheme="minorHAnsi" w:hAnsiTheme="minorHAnsi"/>
          <w:color w:val="000000" w:themeColor="text1"/>
          <w:sz w:val="22"/>
          <w:szCs w:val="22"/>
        </w:rPr>
        <w:t xml:space="preserve">using kits provided through the Public Health Sexual Health contract. </w:t>
      </w:r>
    </w:p>
    <w:p w14:paraId="5D686844" w14:textId="77777777" w:rsidR="000615C0" w:rsidRPr="000100BB" w:rsidRDefault="000615C0" w:rsidP="005E732D">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will be paid an agreed fee per test completed</w:t>
      </w:r>
      <w:r w:rsidR="00BF4ABE" w:rsidRPr="000100BB">
        <w:rPr>
          <w:rFonts w:asciiTheme="minorHAnsi" w:hAnsiTheme="minorHAnsi"/>
          <w:color w:val="000000" w:themeColor="text1"/>
          <w:sz w:val="22"/>
          <w:szCs w:val="22"/>
        </w:rPr>
        <w:t xml:space="preserve"> and sent for analysis</w:t>
      </w:r>
      <w:r w:rsidRPr="000100BB">
        <w:rPr>
          <w:rFonts w:asciiTheme="minorHAnsi" w:hAnsiTheme="minorHAnsi"/>
          <w:color w:val="000000" w:themeColor="text1"/>
          <w:sz w:val="22"/>
          <w:szCs w:val="22"/>
        </w:rPr>
        <w:t xml:space="preserve">, through the Public Health Sexual Health Contract. </w:t>
      </w:r>
      <w:r w:rsidR="000558BF" w:rsidRPr="000100BB">
        <w:rPr>
          <w:rFonts w:asciiTheme="minorHAnsi" w:hAnsiTheme="minorHAnsi"/>
          <w:color w:val="000000" w:themeColor="text1"/>
          <w:sz w:val="22"/>
          <w:szCs w:val="22"/>
        </w:rPr>
        <w:t>Payment details are outlined in Appendix 1.</w:t>
      </w:r>
    </w:p>
    <w:p w14:paraId="6B921748" w14:textId="1112F8CA" w:rsidR="0082110D" w:rsidRPr="000100BB" w:rsidRDefault="00877889" w:rsidP="3E803F66">
      <w:pPr>
        <w:pStyle w:val="NormalWeb"/>
        <w:numPr>
          <w:ilvl w:val="1"/>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The Pharmacist/ Pharmacy staff will c</w:t>
      </w:r>
      <w:r w:rsidR="0063184D" w:rsidRPr="3E803F66">
        <w:rPr>
          <w:rFonts w:asciiTheme="minorHAnsi" w:hAnsiTheme="minorHAnsi"/>
          <w:sz w:val="22"/>
          <w:szCs w:val="22"/>
        </w:rPr>
        <w:t xml:space="preserve">ollect the specimen by agreed means in the sexual health contract </w:t>
      </w:r>
      <w:r w:rsidRPr="3E803F66">
        <w:rPr>
          <w:rFonts w:asciiTheme="minorHAnsi" w:hAnsiTheme="minorHAnsi"/>
          <w:sz w:val="22"/>
          <w:szCs w:val="22"/>
        </w:rPr>
        <w:t xml:space="preserve">fingerprick </w:t>
      </w:r>
      <w:r w:rsidR="00D62002" w:rsidRPr="3E803F66">
        <w:rPr>
          <w:rFonts w:asciiTheme="minorHAnsi" w:hAnsiTheme="minorHAnsi"/>
          <w:sz w:val="22"/>
          <w:szCs w:val="22"/>
        </w:rPr>
        <w:t xml:space="preserve">blood </w:t>
      </w:r>
      <w:r w:rsidRPr="3E803F66">
        <w:rPr>
          <w:rFonts w:asciiTheme="minorHAnsi" w:hAnsiTheme="minorHAnsi"/>
          <w:sz w:val="22"/>
          <w:szCs w:val="22"/>
        </w:rPr>
        <w:t>test and collect a suitable sample to be sent for analysis.</w:t>
      </w:r>
    </w:p>
    <w:p w14:paraId="0925909A" w14:textId="77777777" w:rsidR="00877889" w:rsidRPr="00FA3F4A" w:rsidRDefault="0082110D" w:rsidP="3E803F66">
      <w:pPr>
        <w:pStyle w:val="NormalWeb"/>
        <w:numPr>
          <w:ilvl w:val="1"/>
          <w:numId w:val="5"/>
        </w:numPr>
        <w:shd w:val="clear" w:color="auto" w:fill="F6F6F6"/>
        <w:spacing w:line="360" w:lineRule="atLeast"/>
        <w:rPr>
          <w:rFonts w:asciiTheme="minorHAnsi" w:hAnsiTheme="minorHAnsi"/>
          <w:color w:val="000000" w:themeColor="text1"/>
          <w:sz w:val="22"/>
          <w:szCs w:val="22"/>
          <w:highlight w:val="yellow"/>
        </w:rPr>
      </w:pPr>
      <w:r w:rsidRPr="3E803F66">
        <w:rPr>
          <w:rFonts w:asciiTheme="minorHAnsi" w:hAnsiTheme="minorHAnsi"/>
          <w:color w:val="000000" w:themeColor="text1"/>
          <w:sz w:val="22"/>
          <w:szCs w:val="22"/>
          <w:highlight w:val="yellow"/>
        </w:rPr>
        <w:t>T</w:t>
      </w:r>
      <w:r w:rsidRPr="3E803F66">
        <w:rPr>
          <w:rFonts w:asciiTheme="minorHAnsi" w:hAnsiTheme="minorHAnsi"/>
          <w:sz w:val="22"/>
          <w:szCs w:val="22"/>
        </w:rPr>
        <w:t>he client will collect a urine sample to be sent for analysis</w:t>
      </w:r>
      <w:r w:rsidR="00D62002" w:rsidRPr="3E803F66">
        <w:rPr>
          <w:rFonts w:asciiTheme="minorHAnsi" w:hAnsiTheme="minorHAnsi"/>
          <w:sz w:val="22"/>
          <w:szCs w:val="22"/>
        </w:rPr>
        <w:t xml:space="preserve"> alongside the blood sample</w:t>
      </w:r>
      <w:r w:rsidRPr="3E803F66">
        <w:rPr>
          <w:rFonts w:asciiTheme="minorHAnsi" w:hAnsiTheme="minorHAnsi"/>
          <w:sz w:val="22"/>
          <w:szCs w:val="22"/>
        </w:rPr>
        <w:t xml:space="preserve">. </w:t>
      </w:r>
    </w:p>
    <w:p w14:paraId="72A3D3EC" w14:textId="77777777" w:rsidR="00303689" w:rsidRPr="000100BB" w:rsidRDefault="00303689" w:rsidP="005E732D">
      <w:pPr>
        <w:pStyle w:val="NormalWeb"/>
        <w:numPr>
          <w:ilvl w:val="1"/>
          <w:numId w:val="5"/>
        </w:numPr>
        <w:shd w:val="clear" w:color="auto" w:fill="F6F6F6"/>
        <w:spacing w:line="360" w:lineRule="atLeast"/>
        <w:rPr>
          <w:rFonts w:asciiTheme="minorHAnsi" w:hAnsiTheme="minorHAnsi"/>
          <w:color w:val="000000" w:themeColor="text1"/>
          <w:sz w:val="22"/>
          <w:szCs w:val="22"/>
        </w:rPr>
      </w:pPr>
    </w:p>
    <w:p w14:paraId="09D822B7" w14:textId="77777777" w:rsidR="00B1014C" w:rsidRPr="000100BB" w:rsidRDefault="00F974CD"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The BBV and STI testing</w:t>
      </w:r>
      <w:r w:rsidR="000615C0" w:rsidRPr="3E803F66">
        <w:rPr>
          <w:rFonts w:asciiTheme="minorHAnsi" w:hAnsiTheme="minorHAnsi"/>
          <w:sz w:val="22"/>
          <w:szCs w:val="22"/>
        </w:rPr>
        <w:t xml:space="preserve"> </w:t>
      </w:r>
      <w:r w:rsidR="00954300" w:rsidRPr="3E803F66">
        <w:rPr>
          <w:rFonts w:asciiTheme="minorHAnsi" w:hAnsiTheme="minorHAnsi"/>
          <w:sz w:val="22"/>
          <w:szCs w:val="22"/>
        </w:rPr>
        <w:t>provision</w:t>
      </w:r>
      <w:r w:rsidR="000615C0" w:rsidRPr="3E803F66">
        <w:rPr>
          <w:rFonts w:asciiTheme="minorHAnsi" w:hAnsiTheme="minorHAnsi"/>
          <w:sz w:val="22"/>
          <w:szCs w:val="22"/>
        </w:rPr>
        <w:t xml:space="preserve"> </w:t>
      </w:r>
      <w:r w:rsidR="00B1014C" w:rsidRPr="3E803F66">
        <w:rPr>
          <w:rFonts w:asciiTheme="minorHAnsi" w:hAnsiTheme="minorHAnsi"/>
          <w:sz w:val="22"/>
          <w:szCs w:val="22"/>
        </w:rPr>
        <w:t xml:space="preserve">is </w:t>
      </w:r>
      <w:r w:rsidR="00954300" w:rsidRPr="3E803F66">
        <w:rPr>
          <w:rFonts w:asciiTheme="minorHAnsi" w:hAnsiTheme="minorHAnsi"/>
          <w:b/>
          <w:bCs/>
          <w:sz w:val="22"/>
          <w:szCs w:val="22"/>
        </w:rPr>
        <w:t>only</w:t>
      </w:r>
      <w:r w:rsidR="00954300" w:rsidRPr="3E803F66">
        <w:rPr>
          <w:rFonts w:asciiTheme="minorHAnsi" w:hAnsiTheme="minorHAnsi"/>
          <w:sz w:val="22"/>
          <w:szCs w:val="22"/>
        </w:rPr>
        <w:t xml:space="preserve"> for </w:t>
      </w:r>
      <w:r w:rsidR="00B1014C" w:rsidRPr="3E803F66">
        <w:rPr>
          <w:rFonts w:asciiTheme="minorHAnsi" w:hAnsiTheme="minorHAnsi"/>
          <w:sz w:val="22"/>
          <w:szCs w:val="22"/>
        </w:rPr>
        <w:t>clients who are Tower Hamlets residents</w:t>
      </w:r>
    </w:p>
    <w:p w14:paraId="06903DBC" w14:textId="77777777" w:rsidR="002F4FD4" w:rsidRPr="000100BB" w:rsidRDefault="00954300"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 xml:space="preserve">The </w:t>
      </w:r>
      <w:r w:rsidR="003C30AA" w:rsidRPr="3E803F66">
        <w:rPr>
          <w:rFonts w:asciiTheme="minorHAnsi" w:hAnsiTheme="minorHAnsi"/>
          <w:sz w:val="22"/>
          <w:szCs w:val="22"/>
        </w:rPr>
        <w:t>Pharmacy</w:t>
      </w:r>
      <w:r w:rsidR="00B1014C" w:rsidRPr="3E803F66">
        <w:rPr>
          <w:rFonts w:asciiTheme="minorHAnsi" w:hAnsiTheme="minorHAnsi"/>
          <w:sz w:val="22"/>
          <w:szCs w:val="22"/>
        </w:rPr>
        <w:t xml:space="preserve"> </w:t>
      </w:r>
      <w:r w:rsidR="000615C0" w:rsidRPr="3E803F66">
        <w:rPr>
          <w:rFonts w:asciiTheme="minorHAnsi" w:hAnsiTheme="minorHAnsi"/>
          <w:sz w:val="22"/>
          <w:szCs w:val="22"/>
        </w:rPr>
        <w:t xml:space="preserve">should prioritise </w:t>
      </w:r>
      <w:r w:rsidR="00B33C53" w:rsidRPr="3E803F66">
        <w:rPr>
          <w:rFonts w:asciiTheme="minorHAnsi" w:hAnsiTheme="minorHAnsi"/>
          <w:sz w:val="22"/>
          <w:szCs w:val="22"/>
        </w:rPr>
        <w:t>client</w:t>
      </w:r>
      <w:r w:rsidR="002648AC" w:rsidRPr="3E803F66">
        <w:rPr>
          <w:rFonts w:asciiTheme="minorHAnsi" w:hAnsiTheme="minorHAnsi"/>
          <w:sz w:val="22"/>
          <w:szCs w:val="22"/>
        </w:rPr>
        <w:t>s who report no engagement with substance misuse treatment services</w:t>
      </w:r>
      <w:r w:rsidR="00B33C53" w:rsidRPr="3E803F66">
        <w:rPr>
          <w:rFonts w:asciiTheme="minorHAnsi" w:hAnsiTheme="minorHAnsi"/>
          <w:sz w:val="22"/>
          <w:szCs w:val="22"/>
        </w:rPr>
        <w:t xml:space="preserve"> </w:t>
      </w:r>
    </w:p>
    <w:p w14:paraId="78443151" w14:textId="77777777" w:rsidR="000615C0" w:rsidRPr="000100BB" w:rsidRDefault="000615C0"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Clients who report to not have received a test within the last 6 months should be targeted</w:t>
      </w:r>
    </w:p>
    <w:p w14:paraId="44050A71" w14:textId="48FA2D15" w:rsidR="00877889" w:rsidRPr="000100BB" w:rsidRDefault="00877889"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 xml:space="preserve">The Pharmacy </w:t>
      </w:r>
      <w:r w:rsidR="00A526C5" w:rsidRPr="3E803F66">
        <w:rPr>
          <w:rFonts w:asciiTheme="minorHAnsi" w:hAnsiTheme="minorHAnsi"/>
          <w:sz w:val="22"/>
          <w:szCs w:val="22"/>
        </w:rPr>
        <w:t>must</w:t>
      </w:r>
      <w:r w:rsidRPr="3E803F66">
        <w:rPr>
          <w:rFonts w:asciiTheme="minorHAnsi" w:hAnsiTheme="minorHAnsi"/>
          <w:sz w:val="22"/>
          <w:szCs w:val="22"/>
        </w:rPr>
        <w:t xml:space="preserve"> seek consent from the client to share their details with </w:t>
      </w:r>
      <w:r w:rsidR="0082110D" w:rsidRPr="3E803F66">
        <w:rPr>
          <w:rFonts w:asciiTheme="minorHAnsi" w:hAnsiTheme="minorHAnsi"/>
          <w:sz w:val="22"/>
          <w:szCs w:val="22"/>
        </w:rPr>
        <w:t>local treatment services as appropriate (the Sexual Health service</w:t>
      </w:r>
      <w:r w:rsidR="00BE400A" w:rsidRPr="3E803F66">
        <w:rPr>
          <w:rFonts w:asciiTheme="minorHAnsi" w:hAnsiTheme="minorHAnsi"/>
          <w:sz w:val="22"/>
          <w:szCs w:val="22"/>
        </w:rPr>
        <w:t xml:space="preserve"> and</w:t>
      </w:r>
      <w:r w:rsidR="0082110D" w:rsidRPr="3E803F66">
        <w:rPr>
          <w:rFonts w:asciiTheme="minorHAnsi" w:hAnsiTheme="minorHAnsi"/>
          <w:sz w:val="22"/>
          <w:szCs w:val="22"/>
        </w:rPr>
        <w:t xml:space="preserve"> </w:t>
      </w:r>
      <w:r w:rsidR="007B4E74" w:rsidRPr="3E803F66">
        <w:rPr>
          <w:rFonts w:asciiTheme="minorHAnsi" w:hAnsiTheme="minorHAnsi"/>
          <w:sz w:val="22"/>
          <w:szCs w:val="22"/>
        </w:rPr>
        <w:t>Reset</w:t>
      </w:r>
      <w:r w:rsidRPr="3E803F66">
        <w:rPr>
          <w:rFonts w:asciiTheme="minorHAnsi" w:hAnsiTheme="minorHAnsi"/>
          <w:sz w:val="22"/>
          <w:szCs w:val="22"/>
        </w:rPr>
        <w:t xml:space="preserve"> Treatment </w:t>
      </w:r>
      <w:r w:rsidR="00BE400A" w:rsidRPr="3E803F66">
        <w:rPr>
          <w:rFonts w:asciiTheme="minorHAnsi" w:hAnsiTheme="minorHAnsi"/>
          <w:sz w:val="22"/>
          <w:szCs w:val="22"/>
        </w:rPr>
        <w:t xml:space="preserve">Service’s </w:t>
      </w:r>
      <w:r w:rsidRPr="3E803F66">
        <w:rPr>
          <w:rFonts w:asciiTheme="minorHAnsi" w:hAnsiTheme="minorHAnsi"/>
          <w:sz w:val="22"/>
          <w:szCs w:val="22"/>
        </w:rPr>
        <w:t>BBV Team</w:t>
      </w:r>
      <w:r w:rsidR="0082110D" w:rsidRPr="3E803F66">
        <w:rPr>
          <w:rFonts w:asciiTheme="minorHAnsi" w:hAnsiTheme="minorHAnsi"/>
          <w:sz w:val="22"/>
          <w:szCs w:val="22"/>
        </w:rPr>
        <w:t>)</w:t>
      </w:r>
      <w:r w:rsidRPr="3E803F66">
        <w:rPr>
          <w:rFonts w:asciiTheme="minorHAnsi" w:hAnsiTheme="minorHAnsi"/>
          <w:sz w:val="22"/>
          <w:szCs w:val="22"/>
        </w:rPr>
        <w:t xml:space="preserve"> should their test return a positive result</w:t>
      </w:r>
    </w:p>
    <w:p w14:paraId="4B9A74C0" w14:textId="77777777" w:rsidR="000202A0" w:rsidRPr="000100BB" w:rsidRDefault="000202A0"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Test results will be sent</w:t>
      </w:r>
      <w:r w:rsidR="00D37106" w:rsidRPr="3E803F66">
        <w:rPr>
          <w:rFonts w:asciiTheme="minorHAnsi" w:hAnsiTheme="minorHAnsi"/>
          <w:sz w:val="22"/>
          <w:szCs w:val="22"/>
        </w:rPr>
        <w:t xml:space="preserve"> by the lab</w:t>
      </w:r>
      <w:r w:rsidRPr="3E803F66">
        <w:rPr>
          <w:rFonts w:asciiTheme="minorHAnsi" w:hAnsiTheme="minorHAnsi"/>
          <w:sz w:val="22"/>
          <w:szCs w:val="22"/>
        </w:rPr>
        <w:t xml:space="preserve"> to </w:t>
      </w:r>
      <w:r w:rsidR="00816CA3" w:rsidRPr="3E803F66">
        <w:rPr>
          <w:rFonts w:asciiTheme="minorHAnsi" w:hAnsiTheme="minorHAnsi"/>
          <w:sz w:val="22"/>
          <w:szCs w:val="22"/>
        </w:rPr>
        <w:t>the Sexual Health Service based at Ambrose King Centre.</w:t>
      </w:r>
    </w:p>
    <w:p w14:paraId="4B0B5B62" w14:textId="77777777" w:rsidR="009165A2" w:rsidRPr="000100BB" w:rsidRDefault="0082110D"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Test results will</w:t>
      </w:r>
      <w:r w:rsidR="009165A2" w:rsidRPr="3E803F66">
        <w:rPr>
          <w:rFonts w:asciiTheme="minorHAnsi" w:hAnsiTheme="minorHAnsi"/>
          <w:sz w:val="22"/>
          <w:szCs w:val="22"/>
        </w:rPr>
        <w:t xml:space="preserve"> be communicated to the client by the</w:t>
      </w:r>
      <w:r w:rsidR="006B1CDE" w:rsidRPr="3E803F66">
        <w:rPr>
          <w:rFonts w:asciiTheme="minorHAnsi" w:hAnsiTheme="minorHAnsi"/>
          <w:sz w:val="22"/>
          <w:szCs w:val="22"/>
        </w:rPr>
        <w:t xml:space="preserve"> </w:t>
      </w:r>
      <w:r w:rsidR="00816CA3" w:rsidRPr="3E803F66">
        <w:rPr>
          <w:rFonts w:asciiTheme="minorHAnsi" w:hAnsiTheme="minorHAnsi"/>
          <w:sz w:val="22"/>
          <w:szCs w:val="22"/>
        </w:rPr>
        <w:t>Sexual Health Service.</w:t>
      </w:r>
      <w:r w:rsidR="009165A2" w:rsidRPr="3E803F66">
        <w:rPr>
          <w:rFonts w:asciiTheme="minorHAnsi" w:hAnsiTheme="minorHAnsi"/>
          <w:sz w:val="22"/>
          <w:szCs w:val="22"/>
        </w:rPr>
        <w:t xml:space="preserve"> To facilitate this, the Pharmacy </w:t>
      </w:r>
      <w:r w:rsidR="00A526C5" w:rsidRPr="3E803F66">
        <w:rPr>
          <w:rFonts w:asciiTheme="minorHAnsi" w:hAnsiTheme="minorHAnsi"/>
          <w:sz w:val="22"/>
          <w:szCs w:val="22"/>
        </w:rPr>
        <w:t xml:space="preserve">must </w:t>
      </w:r>
      <w:r w:rsidR="009165A2" w:rsidRPr="3E803F66">
        <w:rPr>
          <w:rFonts w:asciiTheme="minorHAnsi" w:hAnsiTheme="minorHAnsi"/>
          <w:sz w:val="22"/>
          <w:szCs w:val="22"/>
        </w:rPr>
        <w:t>obtain client</w:t>
      </w:r>
      <w:r w:rsidR="007A4F11" w:rsidRPr="3E803F66">
        <w:rPr>
          <w:rFonts w:asciiTheme="minorHAnsi" w:hAnsiTheme="minorHAnsi"/>
          <w:sz w:val="22"/>
          <w:szCs w:val="22"/>
        </w:rPr>
        <w:t xml:space="preserve"> contact details where possible</w:t>
      </w:r>
      <w:r w:rsidR="00877889" w:rsidRPr="3E803F66">
        <w:rPr>
          <w:rFonts w:asciiTheme="minorHAnsi" w:hAnsiTheme="minorHAnsi"/>
          <w:sz w:val="22"/>
          <w:szCs w:val="22"/>
        </w:rPr>
        <w:t>. Failing to do so, or in cases where the client does n</w:t>
      </w:r>
      <w:r w:rsidR="00BF4ABE" w:rsidRPr="3E803F66">
        <w:rPr>
          <w:rFonts w:asciiTheme="minorHAnsi" w:hAnsiTheme="minorHAnsi"/>
          <w:sz w:val="22"/>
          <w:szCs w:val="22"/>
        </w:rPr>
        <w:t>ot have a telephone number, clients</w:t>
      </w:r>
      <w:r w:rsidR="00A526C5" w:rsidRPr="3E803F66">
        <w:rPr>
          <w:rFonts w:asciiTheme="minorHAnsi" w:hAnsiTheme="minorHAnsi"/>
          <w:sz w:val="22"/>
          <w:szCs w:val="22"/>
        </w:rPr>
        <w:t xml:space="preserve"> must </w:t>
      </w:r>
      <w:r w:rsidR="00877889" w:rsidRPr="3E803F66">
        <w:rPr>
          <w:rFonts w:asciiTheme="minorHAnsi" w:hAnsiTheme="minorHAnsi"/>
          <w:sz w:val="22"/>
          <w:szCs w:val="22"/>
        </w:rPr>
        <w:t>be encouraged to return to the pharmacy to receive and discuss their results</w:t>
      </w:r>
    </w:p>
    <w:p w14:paraId="5457F0F0" w14:textId="77777777" w:rsidR="008E2312" w:rsidRPr="000100BB" w:rsidRDefault="00A423C7"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The Sexual Health Service will</w:t>
      </w:r>
      <w:r w:rsidR="008E2312" w:rsidRPr="3E803F66">
        <w:rPr>
          <w:rFonts w:asciiTheme="minorHAnsi" w:hAnsiTheme="minorHAnsi"/>
          <w:sz w:val="22"/>
          <w:szCs w:val="22"/>
        </w:rPr>
        <w:t xml:space="preserve"> liaise with the Blood B</w:t>
      </w:r>
      <w:r w:rsidR="007B4E74" w:rsidRPr="3E803F66">
        <w:rPr>
          <w:rFonts w:asciiTheme="minorHAnsi" w:hAnsiTheme="minorHAnsi"/>
          <w:sz w:val="22"/>
          <w:szCs w:val="22"/>
        </w:rPr>
        <w:t>orne Virus Team based within</w:t>
      </w:r>
      <w:r w:rsidRPr="3E803F66">
        <w:rPr>
          <w:rFonts w:asciiTheme="minorHAnsi" w:hAnsiTheme="minorHAnsi"/>
          <w:sz w:val="22"/>
          <w:szCs w:val="22"/>
        </w:rPr>
        <w:t xml:space="preserve"> </w:t>
      </w:r>
      <w:r w:rsidR="007B4E74" w:rsidRPr="3E803F66">
        <w:rPr>
          <w:rFonts w:asciiTheme="minorHAnsi" w:hAnsiTheme="minorHAnsi"/>
          <w:sz w:val="22"/>
          <w:szCs w:val="22"/>
        </w:rPr>
        <w:t>Reset</w:t>
      </w:r>
      <w:r w:rsidR="008E2312" w:rsidRPr="3E803F66">
        <w:rPr>
          <w:rFonts w:asciiTheme="minorHAnsi" w:hAnsiTheme="minorHAnsi"/>
          <w:sz w:val="22"/>
          <w:szCs w:val="22"/>
        </w:rPr>
        <w:t xml:space="preserve"> Treatment Service to establish whether clients testing positive are known to the </w:t>
      </w:r>
      <w:r w:rsidRPr="3E803F66">
        <w:rPr>
          <w:rFonts w:asciiTheme="minorHAnsi" w:hAnsiTheme="minorHAnsi"/>
          <w:sz w:val="22"/>
          <w:szCs w:val="22"/>
        </w:rPr>
        <w:t>BBV Team</w:t>
      </w:r>
    </w:p>
    <w:p w14:paraId="06154BF3" w14:textId="77777777" w:rsidR="009165A2" w:rsidRDefault="007A4F11"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 xml:space="preserve">The </w:t>
      </w:r>
      <w:r w:rsidR="00A423C7" w:rsidRPr="3E803F66">
        <w:rPr>
          <w:rFonts w:asciiTheme="minorHAnsi" w:hAnsiTheme="minorHAnsi"/>
          <w:sz w:val="22"/>
          <w:szCs w:val="22"/>
        </w:rPr>
        <w:t>Sexual Health Service</w:t>
      </w:r>
      <w:r w:rsidRPr="3E803F66">
        <w:rPr>
          <w:rFonts w:asciiTheme="minorHAnsi" w:hAnsiTheme="minorHAnsi"/>
          <w:sz w:val="22"/>
          <w:szCs w:val="22"/>
        </w:rPr>
        <w:t xml:space="preserve"> will refer clients not known to the BBV Team to</w:t>
      </w:r>
      <w:r w:rsidR="007B4E74" w:rsidRPr="3E803F66">
        <w:rPr>
          <w:rFonts w:asciiTheme="minorHAnsi" w:hAnsiTheme="minorHAnsi"/>
          <w:sz w:val="22"/>
          <w:szCs w:val="22"/>
        </w:rPr>
        <w:t xml:space="preserve"> Reset </w:t>
      </w:r>
      <w:r w:rsidRPr="3E803F66">
        <w:rPr>
          <w:rFonts w:asciiTheme="minorHAnsi" w:hAnsiTheme="minorHAnsi"/>
          <w:sz w:val="22"/>
          <w:szCs w:val="22"/>
        </w:rPr>
        <w:t>Treatment Service</w:t>
      </w:r>
    </w:p>
    <w:p w14:paraId="082FAB81" w14:textId="77777777" w:rsidR="002735E8" w:rsidRDefault="002735E8"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In the case of any client being uncontactable, the Sexual Health Service will flag up the client with the pharmacy, BBV Team and Drug &amp; Alcohol Outreach Teams.</w:t>
      </w:r>
    </w:p>
    <w:p w14:paraId="6DD28D97" w14:textId="77777777" w:rsidR="007A4F11" w:rsidRPr="000100BB" w:rsidRDefault="007A4F11"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 xml:space="preserve">The Pharmacy is encouraged to utilise </w:t>
      </w:r>
      <w:r w:rsidR="00A423C7" w:rsidRPr="3E803F66">
        <w:rPr>
          <w:rFonts w:asciiTheme="minorHAnsi" w:hAnsiTheme="minorHAnsi"/>
          <w:sz w:val="22"/>
          <w:szCs w:val="22"/>
        </w:rPr>
        <w:t>the Drug &amp; Alcohol</w:t>
      </w:r>
      <w:r w:rsidR="00D37106" w:rsidRPr="3E803F66">
        <w:rPr>
          <w:rFonts w:asciiTheme="minorHAnsi" w:hAnsiTheme="minorHAnsi"/>
          <w:sz w:val="22"/>
          <w:szCs w:val="22"/>
        </w:rPr>
        <w:t xml:space="preserve"> Outreach &amp; Referral</w:t>
      </w:r>
      <w:r w:rsidRPr="3E803F66">
        <w:rPr>
          <w:rFonts w:asciiTheme="minorHAnsi" w:hAnsiTheme="minorHAnsi"/>
          <w:sz w:val="22"/>
          <w:szCs w:val="22"/>
        </w:rPr>
        <w:t xml:space="preserve"> to make contact with clients who produce reactive tests but do not re-engage or do not return to the Pharmacy</w:t>
      </w:r>
    </w:p>
    <w:p w14:paraId="0329C367" w14:textId="77777777" w:rsidR="001142D5" w:rsidRPr="000100BB" w:rsidRDefault="001142D5"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Clients who do not consent</w:t>
      </w:r>
      <w:r w:rsidR="007B4E74" w:rsidRPr="3E803F66">
        <w:rPr>
          <w:rFonts w:asciiTheme="minorHAnsi" w:hAnsiTheme="minorHAnsi"/>
          <w:sz w:val="22"/>
          <w:szCs w:val="22"/>
        </w:rPr>
        <w:t>,</w:t>
      </w:r>
      <w:r w:rsidRPr="3E803F66">
        <w:rPr>
          <w:rFonts w:asciiTheme="minorHAnsi" w:hAnsiTheme="minorHAnsi"/>
          <w:sz w:val="22"/>
          <w:szCs w:val="22"/>
        </w:rPr>
        <w:t xml:space="preserve"> or decline the test offer should be signposted to the </w:t>
      </w:r>
      <w:r w:rsidR="007B4E74" w:rsidRPr="3E803F66">
        <w:rPr>
          <w:rFonts w:asciiTheme="minorHAnsi" w:hAnsiTheme="minorHAnsi"/>
          <w:sz w:val="22"/>
          <w:szCs w:val="22"/>
        </w:rPr>
        <w:t>Reset</w:t>
      </w:r>
      <w:r w:rsidRPr="3E803F66">
        <w:rPr>
          <w:rFonts w:asciiTheme="minorHAnsi" w:hAnsiTheme="minorHAnsi"/>
          <w:sz w:val="22"/>
          <w:szCs w:val="22"/>
        </w:rPr>
        <w:t xml:space="preserve"> Treatment Service</w:t>
      </w:r>
    </w:p>
    <w:p w14:paraId="112FD873" w14:textId="77777777" w:rsidR="00B33C53" w:rsidRPr="000100BB" w:rsidRDefault="00877889" w:rsidP="3E803F66">
      <w:pPr>
        <w:pStyle w:val="NormalWeb"/>
        <w:numPr>
          <w:ilvl w:val="2"/>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 xml:space="preserve">A suitable training provider will be identified </w:t>
      </w:r>
      <w:r w:rsidR="001142D5" w:rsidRPr="3E803F66">
        <w:rPr>
          <w:rFonts w:asciiTheme="minorHAnsi" w:hAnsiTheme="minorHAnsi"/>
          <w:sz w:val="22"/>
          <w:szCs w:val="22"/>
        </w:rPr>
        <w:t xml:space="preserve">by the DAAT </w:t>
      </w:r>
      <w:r w:rsidRPr="3E803F66">
        <w:rPr>
          <w:rFonts w:asciiTheme="minorHAnsi" w:hAnsiTheme="minorHAnsi"/>
          <w:sz w:val="22"/>
          <w:szCs w:val="22"/>
        </w:rPr>
        <w:t>and will</w:t>
      </w:r>
      <w:r w:rsidR="007B1C16" w:rsidRPr="3E803F66">
        <w:rPr>
          <w:rFonts w:asciiTheme="minorHAnsi" w:hAnsiTheme="minorHAnsi"/>
          <w:sz w:val="22"/>
          <w:szCs w:val="22"/>
        </w:rPr>
        <w:t xml:space="preserve"> provide training to Pharmacy Staff to support this </w:t>
      </w:r>
      <w:r w:rsidR="00795835" w:rsidRPr="3E803F66">
        <w:rPr>
          <w:rFonts w:asciiTheme="minorHAnsi" w:hAnsiTheme="minorHAnsi"/>
          <w:sz w:val="22"/>
          <w:szCs w:val="22"/>
        </w:rPr>
        <w:t>provision</w:t>
      </w:r>
    </w:p>
    <w:p w14:paraId="6B718A3E" w14:textId="77777777" w:rsidR="00464569" w:rsidRPr="000100BB" w:rsidRDefault="00464569" w:rsidP="3E803F66">
      <w:pPr>
        <w:pStyle w:val="NormalWeb"/>
        <w:numPr>
          <w:ilvl w:val="1"/>
          <w:numId w:val="5"/>
        </w:numPr>
        <w:shd w:val="clear" w:color="auto" w:fill="F6F6F6"/>
        <w:spacing w:after="0"/>
        <w:ind w:left="714" w:hanging="357"/>
        <w:rPr>
          <w:rFonts w:asciiTheme="minorHAnsi" w:hAnsiTheme="minorHAnsi"/>
          <w:color w:val="000000" w:themeColor="text1"/>
          <w:sz w:val="22"/>
          <w:szCs w:val="22"/>
        </w:rPr>
      </w:pPr>
      <w:r w:rsidRPr="3E803F66">
        <w:rPr>
          <w:rFonts w:asciiTheme="minorHAnsi" w:hAnsiTheme="minorHAnsi"/>
          <w:sz w:val="22"/>
          <w:szCs w:val="22"/>
        </w:rPr>
        <w:t xml:space="preserve">The pharmacy will </w:t>
      </w:r>
      <w:r w:rsidR="00954300" w:rsidRPr="3E803F66">
        <w:rPr>
          <w:rFonts w:asciiTheme="minorHAnsi" w:hAnsiTheme="minorHAnsi"/>
          <w:sz w:val="22"/>
          <w:szCs w:val="22"/>
        </w:rPr>
        <w:t>dispense</w:t>
      </w:r>
      <w:r w:rsidRPr="3E803F66">
        <w:rPr>
          <w:rFonts w:asciiTheme="minorHAnsi" w:hAnsiTheme="minorHAnsi"/>
          <w:sz w:val="22"/>
          <w:szCs w:val="22"/>
        </w:rPr>
        <w:t xml:space="preserve"> naloxone/ prenoxad kits to clients accessing the service</w:t>
      </w:r>
      <w:r>
        <w:br/>
      </w:r>
    </w:p>
    <w:p w14:paraId="47CEC6FF" w14:textId="77777777" w:rsidR="00254C63" w:rsidRPr="000100BB" w:rsidRDefault="00D82C91" w:rsidP="3E803F66">
      <w:pPr>
        <w:pStyle w:val="NormalWeb"/>
        <w:numPr>
          <w:ilvl w:val="1"/>
          <w:numId w:val="5"/>
        </w:numPr>
        <w:shd w:val="clear" w:color="auto" w:fill="F6F6F6"/>
        <w:spacing w:after="120"/>
        <w:ind w:left="714" w:hanging="357"/>
        <w:rPr>
          <w:rFonts w:asciiTheme="minorHAnsi" w:hAnsiTheme="minorHAnsi"/>
          <w:color w:val="000000" w:themeColor="text1"/>
          <w:sz w:val="22"/>
          <w:szCs w:val="22"/>
        </w:rPr>
      </w:pPr>
      <w:r w:rsidRPr="3E803F66">
        <w:rPr>
          <w:rFonts w:asciiTheme="minorHAnsi" w:hAnsiTheme="minorHAnsi"/>
          <w:sz w:val="22"/>
          <w:szCs w:val="22"/>
        </w:rPr>
        <w:t>C</w:t>
      </w:r>
      <w:r w:rsidR="00464569" w:rsidRPr="3E803F66">
        <w:rPr>
          <w:rFonts w:asciiTheme="minorHAnsi" w:hAnsiTheme="minorHAnsi"/>
          <w:sz w:val="22"/>
          <w:szCs w:val="22"/>
        </w:rPr>
        <w:t xml:space="preserve">lients who </w:t>
      </w:r>
      <w:r w:rsidR="00A423C7" w:rsidRPr="3E803F66">
        <w:rPr>
          <w:rFonts w:asciiTheme="minorHAnsi" w:hAnsiTheme="minorHAnsi"/>
          <w:sz w:val="22"/>
          <w:szCs w:val="22"/>
        </w:rPr>
        <w:t>report non-engagement</w:t>
      </w:r>
      <w:r w:rsidR="00464569" w:rsidRPr="3E803F66">
        <w:rPr>
          <w:rFonts w:asciiTheme="minorHAnsi" w:hAnsiTheme="minorHAnsi"/>
          <w:sz w:val="22"/>
          <w:szCs w:val="22"/>
        </w:rPr>
        <w:t xml:space="preserve"> with substance misuse services and do not ha</w:t>
      </w:r>
      <w:r w:rsidRPr="3E803F66">
        <w:rPr>
          <w:rFonts w:asciiTheme="minorHAnsi" w:hAnsiTheme="minorHAnsi"/>
          <w:sz w:val="22"/>
          <w:szCs w:val="22"/>
        </w:rPr>
        <w:t xml:space="preserve">ve access to naloxone/ prenoxad should be targeted </w:t>
      </w:r>
    </w:p>
    <w:p w14:paraId="04CCA253" w14:textId="77777777" w:rsidR="00116B68" w:rsidRPr="000100BB" w:rsidRDefault="00D82C91" w:rsidP="3E803F66">
      <w:pPr>
        <w:pStyle w:val="NormalWeb"/>
        <w:numPr>
          <w:ilvl w:val="1"/>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The Pharmacy must ensure appropriate levels of stock</w:t>
      </w:r>
      <w:r w:rsidR="00572525" w:rsidRPr="3E803F66">
        <w:rPr>
          <w:rFonts w:asciiTheme="minorHAnsi" w:hAnsiTheme="minorHAnsi"/>
          <w:sz w:val="22"/>
          <w:szCs w:val="22"/>
        </w:rPr>
        <w:t xml:space="preserve">. Kits will be ordered alongside needle exchange packs through the Tower Hamlets approved contract. </w:t>
      </w:r>
      <w:r w:rsidRPr="3E803F66">
        <w:rPr>
          <w:rFonts w:asciiTheme="minorHAnsi" w:hAnsiTheme="minorHAnsi"/>
          <w:sz w:val="22"/>
          <w:szCs w:val="22"/>
        </w:rPr>
        <w:t xml:space="preserve"> </w:t>
      </w:r>
    </w:p>
    <w:p w14:paraId="6A4BAEB8" w14:textId="77777777" w:rsidR="00D82C91" w:rsidRPr="000100BB" w:rsidRDefault="00D82C91" w:rsidP="3E803F66">
      <w:pPr>
        <w:pStyle w:val="NormalWeb"/>
        <w:numPr>
          <w:ilvl w:val="1"/>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Clients must not be issued with a naloxone/ prenoxad kit at each visit; but can be issued with a replacement kit if the previous has been used or no longer in the client’s possession</w:t>
      </w:r>
    </w:p>
    <w:p w14:paraId="0626B0A6" w14:textId="77777777" w:rsidR="00D82C91" w:rsidRPr="000100BB" w:rsidRDefault="00D82C91" w:rsidP="3E803F66">
      <w:pPr>
        <w:pStyle w:val="NormalWeb"/>
        <w:numPr>
          <w:ilvl w:val="1"/>
          <w:numId w:val="5"/>
        </w:numPr>
        <w:shd w:val="clear" w:color="auto" w:fill="F6F6F6"/>
        <w:spacing w:line="360" w:lineRule="atLeast"/>
        <w:rPr>
          <w:rFonts w:asciiTheme="minorHAnsi" w:hAnsiTheme="minorHAnsi"/>
          <w:color w:val="000000" w:themeColor="text1"/>
          <w:sz w:val="22"/>
          <w:szCs w:val="22"/>
        </w:rPr>
      </w:pPr>
      <w:r w:rsidRPr="3E803F66">
        <w:rPr>
          <w:rFonts w:asciiTheme="minorHAnsi" w:hAnsiTheme="minorHAnsi"/>
          <w:sz w:val="22"/>
          <w:szCs w:val="22"/>
        </w:rPr>
        <w:t xml:space="preserve">The Pharmacist must provide a brief </w:t>
      </w:r>
      <w:r w:rsidR="00795835" w:rsidRPr="3E803F66">
        <w:rPr>
          <w:rFonts w:asciiTheme="minorHAnsi" w:hAnsiTheme="minorHAnsi"/>
          <w:sz w:val="22"/>
          <w:szCs w:val="22"/>
        </w:rPr>
        <w:t>consultation/</w:t>
      </w:r>
      <w:r w:rsidR="00260915" w:rsidRPr="3E803F66">
        <w:rPr>
          <w:rFonts w:asciiTheme="minorHAnsi" w:hAnsiTheme="minorHAnsi"/>
          <w:sz w:val="22"/>
          <w:szCs w:val="22"/>
        </w:rPr>
        <w:t>training to the client on how and when to use naloxone</w:t>
      </w:r>
    </w:p>
    <w:p w14:paraId="108AA04B" w14:textId="77777777" w:rsidR="00D82C91" w:rsidRPr="000100BB" w:rsidRDefault="00D82C91" w:rsidP="00D82C91">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The Pharmacy must maintain accurate records of naloxone/ prenoxad kits dispensed, including date of issue and expiry date. </w:t>
      </w:r>
    </w:p>
    <w:p w14:paraId="7E25420F" w14:textId="77777777" w:rsidR="00260915" w:rsidRDefault="00260915" w:rsidP="00D82C91">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Naloxone/ Prenoxad ‘Train the Trainer’ training will be facilitated by the DAAT</w:t>
      </w:r>
    </w:p>
    <w:p w14:paraId="28CE9FBF" w14:textId="77777777" w:rsidR="00572525" w:rsidRPr="000100BB" w:rsidRDefault="00572525" w:rsidP="00D82C91">
      <w:pPr>
        <w:pStyle w:val="NormalWeb"/>
        <w:numPr>
          <w:ilvl w:val="1"/>
          <w:numId w:val="5"/>
        </w:numPr>
        <w:shd w:val="clear" w:color="auto" w:fill="F6F6F6"/>
        <w:spacing w:line="360" w:lineRule="atLeast"/>
        <w:rPr>
          <w:rFonts w:asciiTheme="minorHAnsi" w:hAnsiTheme="minorHAnsi"/>
          <w:color w:val="000000" w:themeColor="text1"/>
          <w:sz w:val="22"/>
          <w:szCs w:val="22"/>
        </w:rPr>
      </w:pPr>
      <w:r>
        <w:rPr>
          <w:rFonts w:asciiTheme="minorHAnsi" w:hAnsiTheme="minorHAnsi"/>
          <w:color w:val="000000" w:themeColor="text1"/>
          <w:sz w:val="22"/>
          <w:szCs w:val="22"/>
        </w:rPr>
        <w:t xml:space="preserve">No separate fee will be paid for dispensing naloxone; this is considered part of the needle exchange transaction. </w:t>
      </w:r>
    </w:p>
    <w:p w14:paraId="0D0B940D" w14:textId="77777777" w:rsidR="007B1C16" w:rsidRPr="000100BB" w:rsidRDefault="007B1C16" w:rsidP="007B1C16">
      <w:pPr>
        <w:pStyle w:val="NormalWeb"/>
        <w:shd w:val="clear" w:color="auto" w:fill="F6F6F6"/>
        <w:spacing w:line="360" w:lineRule="atLeast"/>
        <w:ind w:left="1440"/>
        <w:rPr>
          <w:rFonts w:asciiTheme="minorHAnsi" w:hAnsiTheme="minorHAnsi"/>
          <w:color w:val="000000" w:themeColor="text1"/>
          <w:sz w:val="22"/>
          <w:szCs w:val="22"/>
        </w:rPr>
      </w:pPr>
    </w:p>
    <w:p w14:paraId="32837BCC" w14:textId="77777777" w:rsidR="005E3785" w:rsidRPr="000100BB" w:rsidRDefault="00BC732F" w:rsidP="005E3785">
      <w:pPr>
        <w:pStyle w:val="NormalWeb"/>
        <w:numPr>
          <w:ilvl w:val="0"/>
          <w:numId w:val="5"/>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Staff Requirement</w:t>
      </w:r>
      <w:r w:rsidR="00422DC9" w:rsidRPr="000100BB">
        <w:rPr>
          <w:rFonts w:asciiTheme="minorHAnsi" w:hAnsiTheme="minorHAnsi"/>
          <w:b/>
          <w:color w:val="000000" w:themeColor="text1"/>
          <w:sz w:val="22"/>
          <w:szCs w:val="22"/>
        </w:rPr>
        <w:t>s</w:t>
      </w:r>
      <w:r w:rsidRPr="000100BB">
        <w:rPr>
          <w:rFonts w:asciiTheme="minorHAnsi" w:hAnsiTheme="minorHAnsi"/>
          <w:b/>
          <w:color w:val="000000" w:themeColor="text1"/>
          <w:sz w:val="22"/>
          <w:szCs w:val="22"/>
        </w:rPr>
        <w:t xml:space="preserve"> and </w:t>
      </w:r>
      <w:r w:rsidR="005E3785" w:rsidRPr="000100BB">
        <w:rPr>
          <w:rFonts w:asciiTheme="minorHAnsi" w:hAnsiTheme="minorHAnsi"/>
          <w:b/>
          <w:color w:val="000000" w:themeColor="text1"/>
          <w:sz w:val="22"/>
          <w:szCs w:val="22"/>
        </w:rPr>
        <w:t xml:space="preserve">Health </w:t>
      </w:r>
      <w:r w:rsidRPr="000100BB">
        <w:rPr>
          <w:rFonts w:asciiTheme="minorHAnsi" w:hAnsiTheme="minorHAnsi"/>
          <w:b/>
          <w:color w:val="000000" w:themeColor="text1"/>
          <w:sz w:val="22"/>
          <w:szCs w:val="22"/>
        </w:rPr>
        <w:t>&amp;</w:t>
      </w:r>
      <w:r w:rsidR="005E3785" w:rsidRPr="000100BB">
        <w:rPr>
          <w:rFonts w:asciiTheme="minorHAnsi" w:hAnsiTheme="minorHAnsi"/>
          <w:b/>
          <w:color w:val="000000" w:themeColor="text1"/>
          <w:sz w:val="22"/>
          <w:szCs w:val="22"/>
        </w:rPr>
        <w:t xml:space="preserve"> Safety</w:t>
      </w:r>
    </w:p>
    <w:p w14:paraId="1510B22A" w14:textId="77777777" w:rsidR="00BC732F" w:rsidRPr="000100BB" w:rsidRDefault="00BC732F" w:rsidP="005E378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It is expected that the regular pharmacist at the Pharm</w:t>
      </w:r>
      <w:r w:rsidR="006E599A" w:rsidRPr="000100BB">
        <w:rPr>
          <w:rFonts w:asciiTheme="minorHAnsi" w:hAnsiTheme="minorHAnsi"/>
          <w:color w:val="000000" w:themeColor="text1"/>
          <w:sz w:val="22"/>
          <w:szCs w:val="22"/>
        </w:rPr>
        <w:t xml:space="preserve">acy is registered with the </w:t>
      </w:r>
      <w:r w:rsidR="00D37106" w:rsidRPr="000100BB">
        <w:rPr>
          <w:rFonts w:asciiTheme="minorHAnsi" w:hAnsiTheme="minorHAnsi"/>
          <w:color w:val="000000" w:themeColor="text1"/>
          <w:sz w:val="22"/>
          <w:szCs w:val="22"/>
        </w:rPr>
        <w:t>Royal Pharmaceutical Society (</w:t>
      </w:r>
      <w:r w:rsidR="006E599A" w:rsidRPr="000100BB">
        <w:rPr>
          <w:rFonts w:asciiTheme="minorHAnsi" w:hAnsiTheme="minorHAnsi"/>
          <w:color w:val="000000" w:themeColor="text1"/>
          <w:sz w:val="22"/>
          <w:szCs w:val="22"/>
        </w:rPr>
        <w:t>RPS</w:t>
      </w:r>
      <w:r w:rsidR="00D37106" w:rsidRPr="000100BB">
        <w:rPr>
          <w:rFonts w:asciiTheme="minorHAnsi" w:hAnsiTheme="minorHAnsi"/>
          <w:color w:val="000000" w:themeColor="text1"/>
          <w:sz w:val="22"/>
          <w:szCs w:val="22"/>
        </w:rPr>
        <w:t>)</w:t>
      </w:r>
      <w:r w:rsidRPr="000100BB">
        <w:rPr>
          <w:rFonts w:asciiTheme="minorHAnsi" w:hAnsiTheme="minorHAnsi"/>
          <w:color w:val="000000" w:themeColor="text1"/>
          <w:sz w:val="22"/>
          <w:szCs w:val="22"/>
        </w:rPr>
        <w:t xml:space="preserve">, has completed the appropriate needle exchange and harm reduction training organised by LBTH and has completed </w:t>
      </w:r>
      <w:r w:rsidR="00E213FC" w:rsidRPr="000100BB">
        <w:rPr>
          <w:rFonts w:asciiTheme="minorHAnsi" w:hAnsiTheme="minorHAnsi"/>
          <w:color w:val="000000" w:themeColor="text1"/>
          <w:sz w:val="22"/>
          <w:szCs w:val="22"/>
        </w:rPr>
        <w:t>the Centre for Pharmacy Postgraduate Education (</w:t>
      </w:r>
      <w:r w:rsidRPr="000100BB">
        <w:rPr>
          <w:rFonts w:asciiTheme="minorHAnsi" w:hAnsiTheme="minorHAnsi"/>
          <w:color w:val="000000" w:themeColor="text1"/>
          <w:sz w:val="22"/>
          <w:szCs w:val="22"/>
        </w:rPr>
        <w:t>CPPE</w:t>
      </w:r>
      <w:r w:rsidR="00E213FC" w:rsidRPr="000100BB">
        <w:rPr>
          <w:rFonts w:asciiTheme="minorHAnsi" w:hAnsiTheme="minorHAnsi"/>
          <w:color w:val="000000" w:themeColor="text1"/>
          <w:sz w:val="22"/>
          <w:szCs w:val="22"/>
        </w:rPr>
        <w:t>)</w:t>
      </w:r>
      <w:r w:rsidRPr="000100BB">
        <w:rPr>
          <w:rFonts w:asciiTheme="minorHAnsi" w:hAnsiTheme="minorHAnsi"/>
          <w:color w:val="000000" w:themeColor="text1"/>
          <w:sz w:val="22"/>
          <w:szCs w:val="22"/>
        </w:rPr>
        <w:t xml:space="preserve"> Training - Substance Use and Misuse. </w:t>
      </w:r>
    </w:p>
    <w:p w14:paraId="0F1A64FB" w14:textId="77777777" w:rsidR="00FA43E7" w:rsidRPr="000100BB" w:rsidRDefault="005E3785" w:rsidP="005E378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All Pharmacy staff delivering needle exchange services will receive appropriate training.</w:t>
      </w:r>
      <w:r w:rsidR="00FA43E7" w:rsidRPr="000100BB">
        <w:rPr>
          <w:rFonts w:asciiTheme="minorHAnsi" w:hAnsiTheme="minorHAnsi"/>
          <w:color w:val="000000" w:themeColor="text1"/>
          <w:sz w:val="22"/>
          <w:szCs w:val="22"/>
        </w:rPr>
        <w:t xml:space="preserve"> Mandatory training </w:t>
      </w:r>
      <w:r w:rsidR="00D37106" w:rsidRPr="000100BB">
        <w:rPr>
          <w:rFonts w:asciiTheme="minorHAnsi" w:hAnsiTheme="minorHAnsi"/>
          <w:color w:val="000000" w:themeColor="text1"/>
          <w:sz w:val="22"/>
          <w:szCs w:val="22"/>
        </w:rPr>
        <w:t xml:space="preserve">by DAAT </w:t>
      </w:r>
      <w:r w:rsidR="00FA43E7" w:rsidRPr="000100BB">
        <w:rPr>
          <w:rFonts w:asciiTheme="minorHAnsi" w:hAnsiTheme="minorHAnsi"/>
          <w:color w:val="000000" w:themeColor="text1"/>
          <w:sz w:val="22"/>
          <w:szCs w:val="22"/>
        </w:rPr>
        <w:t xml:space="preserve">will be delivered on an annual basis. </w:t>
      </w:r>
    </w:p>
    <w:p w14:paraId="30CE80C6" w14:textId="77777777" w:rsidR="005E3785" w:rsidRPr="000100BB" w:rsidRDefault="00A4104B" w:rsidP="005E378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 It is expected that staff continue to update their knowledge and skills by attending additional training where necessary</w:t>
      </w:r>
      <w:r w:rsidR="00E213FC" w:rsidRPr="000100BB">
        <w:rPr>
          <w:rFonts w:asciiTheme="minorHAnsi" w:hAnsiTheme="minorHAnsi"/>
          <w:color w:val="000000" w:themeColor="text1"/>
          <w:sz w:val="22"/>
          <w:szCs w:val="22"/>
        </w:rPr>
        <w:t xml:space="preserve"> and utilise guidance and learning materials such as the NICE PBNX (pharmacy-based Needle Exchange) Programme for Community Introduction.</w:t>
      </w:r>
      <w:r w:rsidRPr="000100BB">
        <w:rPr>
          <w:rFonts w:asciiTheme="minorHAnsi" w:hAnsiTheme="minorHAnsi"/>
          <w:color w:val="000000" w:themeColor="text1"/>
          <w:sz w:val="22"/>
          <w:szCs w:val="22"/>
        </w:rPr>
        <w:t xml:space="preserve"> </w:t>
      </w:r>
    </w:p>
    <w:p w14:paraId="5C49D23D" w14:textId="77777777" w:rsidR="003C5295" w:rsidRPr="000100BB" w:rsidRDefault="00DE57A0" w:rsidP="00DE57A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Pharmacy staff involved in the scheme must be made aware of the risks associated with handling returned used injecting equipment. Needle stick injury procedure and infection control policies </w:t>
      </w:r>
      <w:r w:rsidR="00A526C5" w:rsidRPr="000100BB">
        <w:rPr>
          <w:rFonts w:asciiTheme="minorHAnsi" w:hAnsiTheme="minorHAnsi"/>
          <w:color w:val="000000" w:themeColor="text1"/>
          <w:sz w:val="22"/>
          <w:szCs w:val="22"/>
        </w:rPr>
        <w:t>must</w:t>
      </w:r>
      <w:r w:rsidRPr="000100BB">
        <w:rPr>
          <w:rFonts w:asciiTheme="minorHAnsi" w:hAnsiTheme="minorHAnsi"/>
          <w:color w:val="000000" w:themeColor="text1"/>
          <w:sz w:val="22"/>
          <w:szCs w:val="22"/>
        </w:rPr>
        <w:t xml:space="preserve"> be in place.</w:t>
      </w:r>
    </w:p>
    <w:p w14:paraId="7A3C2826" w14:textId="77777777" w:rsidR="005E3785" w:rsidRPr="000100BB" w:rsidRDefault="00DE57A0" w:rsidP="005E378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Pharmacy s</w:t>
      </w:r>
      <w:r w:rsidR="005E3785" w:rsidRPr="000100BB">
        <w:rPr>
          <w:rFonts w:asciiTheme="minorHAnsi" w:hAnsiTheme="minorHAnsi"/>
          <w:color w:val="000000" w:themeColor="text1"/>
          <w:sz w:val="22"/>
          <w:szCs w:val="22"/>
        </w:rPr>
        <w:t xml:space="preserve">taff delivering needle exchange services should </w:t>
      </w:r>
      <w:r w:rsidRPr="000100BB">
        <w:rPr>
          <w:rFonts w:asciiTheme="minorHAnsi" w:hAnsiTheme="minorHAnsi"/>
          <w:color w:val="000000" w:themeColor="text1"/>
          <w:sz w:val="22"/>
          <w:szCs w:val="22"/>
        </w:rPr>
        <w:t>have access to vaccination</w:t>
      </w:r>
      <w:r w:rsidR="005E3785" w:rsidRPr="000100BB">
        <w:rPr>
          <w:rFonts w:asciiTheme="minorHAnsi" w:hAnsiTheme="minorHAnsi"/>
          <w:color w:val="000000" w:themeColor="text1"/>
          <w:sz w:val="22"/>
          <w:szCs w:val="22"/>
        </w:rPr>
        <w:t xml:space="preserve"> against hepatitis B</w:t>
      </w:r>
      <w:r w:rsidR="00861835" w:rsidRPr="000100BB">
        <w:rPr>
          <w:rFonts w:asciiTheme="minorHAnsi" w:hAnsiTheme="minorHAnsi"/>
          <w:color w:val="000000" w:themeColor="text1"/>
          <w:sz w:val="22"/>
          <w:szCs w:val="22"/>
        </w:rPr>
        <w:t xml:space="preserve"> and are encouraged to have relevant immunisations.  </w:t>
      </w:r>
    </w:p>
    <w:p w14:paraId="372CAD80" w14:textId="77777777" w:rsidR="00D37106" w:rsidRPr="000100BB" w:rsidRDefault="00D37106" w:rsidP="5A84454D">
      <w:pPr>
        <w:pStyle w:val="NormalWeb"/>
        <w:numPr>
          <w:ilvl w:val="1"/>
          <w:numId w:val="5"/>
        </w:numPr>
        <w:shd w:val="clear" w:color="auto" w:fill="F6F6F6"/>
        <w:spacing w:line="360" w:lineRule="atLeast"/>
        <w:rPr>
          <w:rFonts w:asciiTheme="minorHAnsi" w:hAnsiTheme="minorHAnsi"/>
          <w:color w:val="000000" w:themeColor="text1"/>
          <w:sz w:val="22"/>
          <w:szCs w:val="22"/>
        </w:rPr>
      </w:pPr>
      <w:r w:rsidRPr="5A84454D">
        <w:rPr>
          <w:rFonts w:asciiTheme="minorHAnsi" w:hAnsiTheme="minorHAnsi"/>
          <w:color w:val="000000" w:themeColor="text1"/>
          <w:sz w:val="22"/>
          <w:szCs w:val="22"/>
        </w:rPr>
        <w:t xml:space="preserve">Successful providers are expected to </w:t>
      </w:r>
      <w:r w:rsidR="00924282" w:rsidRPr="5A84454D">
        <w:rPr>
          <w:rFonts w:asciiTheme="minorHAnsi" w:hAnsiTheme="minorHAnsi"/>
          <w:color w:val="000000" w:themeColor="text1"/>
          <w:sz w:val="22"/>
          <w:szCs w:val="22"/>
        </w:rPr>
        <w:t xml:space="preserve">establish pathways with Reset Drug &amp; Alcohol Services, understand the treatment provision and offer and attend service open days as appropriate. </w:t>
      </w:r>
    </w:p>
    <w:p w14:paraId="2AD45B47" w14:textId="77777777" w:rsidR="005E3785" w:rsidRPr="000100BB" w:rsidRDefault="005E3785" w:rsidP="005E3785">
      <w:pPr>
        <w:pStyle w:val="NormalWeb"/>
        <w:numPr>
          <w:ilvl w:val="0"/>
          <w:numId w:val="5"/>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Sharps and Hazardous Waste Collections</w:t>
      </w:r>
    </w:p>
    <w:p w14:paraId="025B3C74" w14:textId="77777777" w:rsidR="00D857CB" w:rsidRPr="000100BB" w:rsidRDefault="00D857CB" w:rsidP="005E378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 Collections of sharps and hazardous waste will be delivered by a dedicated supplier commissioned by LBTH DAAT.</w:t>
      </w:r>
    </w:p>
    <w:p w14:paraId="1FAB7A72" w14:textId="77777777" w:rsidR="00861835" w:rsidRPr="000100BB" w:rsidRDefault="00861835" w:rsidP="0086183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cost of sharps bins collections will be met by LBTH DAAT.</w:t>
      </w:r>
    </w:p>
    <w:p w14:paraId="1A6208F0" w14:textId="77777777" w:rsidR="00A745F7" w:rsidRPr="000100BB" w:rsidRDefault="0008245A" w:rsidP="005E378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must</w:t>
      </w:r>
      <w:r w:rsidR="00A745F7" w:rsidRPr="000100BB">
        <w:rPr>
          <w:rFonts w:asciiTheme="minorHAnsi" w:hAnsiTheme="minorHAnsi"/>
          <w:color w:val="000000" w:themeColor="text1"/>
          <w:sz w:val="22"/>
          <w:szCs w:val="22"/>
        </w:rPr>
        <w:t xml:space="preserve"> ensure sharps containers and used equipment are disposed of safely as clinical waste a</w:t>
      </w:r>
      <w:r w:rsidR="006A2618" w:rsidRPr="000100BB">
        <w:rPr>
          <w:rFonts w:asciiTheme="minorHAnsi" w:hAnsiTheme="minorHAnsi"/>
          <w:color w:val="000000" w:themeColor="text1"/>
          <w:sz w:val="22"/>
          <w:szCs w:val="22"/>
        </w:rPr>
        <w:t xml:space="preserve">nd through suitable sharps bins provided. </w:t>
      </w:r>
    </w:p>
    <w:p w14:paraId="6A853769" w14:textId="77777777" w:rsidR="006A2618" w:rsidRPr="000100BB" w:rsidRDefault="006A2618" w:rsidP="005E378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w:t>
      </w:r>
      <w:r w:rsidR="00D334CC" w:rsidRPr="000100BB">
        <w:rPr>
          <w:rFonts w:asciiTheme="minorHAnsi" w:hAnsiTheme="minorHAnsi"/>
          <w:color w:val="000000" w:themeColor="text1"/>
          <w:sz w:val="22"/>
          <w:szCs w:val="22"/>
        </w:rPr>
        <w:t xml:space="preserve"> must</w:t>
      </w:r>
      <w:r w:rsidRPr="000100BB">
        <w:rPr>
          <w:rFonts w:asciiTheme="minorHAnsi" w:hAnsiTheme="minorHAnsi"/>
          <w:color w:val="000000" w:themeColor="text1"/>
          <w:sz w:val="22"/>
          <w:szCs w:val="22"/>
        </w:rPr>
        <w:t xml:space="preserve"> ensure this type of waste is not mixed with any other types of waste or disposed of through other bins.</w:t>
      </w:r>
    </w:p>
    <w:p w14:paraId="75A35CE5" w14:textId="77777777" w:rsidR="005E3785" w:rsidRPr="000100BB" w:rsidRDefault="005E3785" w:rsidP="005E378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collection of sharps bins will take place on a monthly basis. Full bins taken away will be replaced by empty bins of the same size.</w:t>
      </w:r>
    </w:p>
    <w:p w14:paraId="468EED60" w14:textId="77777777" w:rsidR="00D857CB" w:rsidRPr="000100BB" w:rsidRDefault="00D857CB" w:rsidP="005E378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will be expected to provide a signature as way of confirming that full sharps bins are collected and replacement bins are provided.</w:t>
      </w:r>
    </w:p>
    <w:p w14:paraId="77973D78" w14:textId="77777777" w:rsidR="007B4947" w:rsidRPr="000100BB" w:rsidRDefault="00D857CB" w:rsidP="005E3785">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Sharps bins</w:t>
      </w:r>
      <w:r w:rsidR="007B4947" w:rsidRPr="000100BB">
        <w:rPr>
          <w:rFonts w:asciiTheme="minorHAnsi" w:hAnsiTheme="minorHAnsi"/>
          <w:color w:val="000000" w:themeColor="text1"/>
          <w:sz w:val="22"/>
          <w:szCs w:val="22"/>
        </w:rPr>
        <w:t xml:space="preserve"> must be kept in a safe place away from service users and the general public and must be used for this provision only.</w:t>
      </w:r>
    </w:p>
    <w:p w14:paraId="436F1E5E" w14:textId="77777777" w:rsidR="005E3785" w:rsidRPr="000100BB" w:rsidRDefault="009D742A" w:rsidP="5A84454D">
      <w:pPr>
        <w:pStyle w:val="NormalWeb"/>
        <w:numPr>
          <w:ilvl w:val="1"/>
          <w:numId w:val="5"/>
        </w:numPr>
        <w:shd w:val="clear" w:color="auto" w:fill="F6F6F6"/>
        <w:spacing w:line="360" w:lineRule="atLeast"/>
        <w:rPr>
          <w:rFonts w:asciiTheme="minorHAnsi" w:hAnsiTheme="minorHAnsi"/>
          <w:color w:val="000000" w:themeColor="text1"/>
          <w:sz w:val="22"/>
          <w:szCs w:val="22"/>
        </w:rPr>
      </w:pPr>
      <w:r w:rsidRPr="5A84454D">
        <w:rPr>
          <w:rFonts w:asciiTheme="minorHAnsi" w:hAnsiTheme="minorHAnsi"/>
          <w:color w:val="000000" w:themeColor="text1"/>
          <w:sz w:val="22"/>
          <w:szCs w:val="22"/>
        </w:rPr>
        <w:t>Additional collections (on top of standard allocation)</w:t>
      </w:r>
      <w:r w:rsidR="005E3785" w:rsidRPr="5A84454D">
        <w:rPr>
          <w:rFonts w:asciiTheme="minorHAnsi" w:hAnsiTheme="minorHAnsi"/>
          <w:color w:val="000000" w:themeColor="text1"/>
          <w:sz w:val="22"/>
          <w:szCs w:val="22"/>
        </w:rPr>
        <w:t xml:space="preserve"> where required, must be </w:t>
      </w:r>
      <w:r w:rsidR="007B4947" w:rsidRPr="5A84454D">
        <w:rPr>
          <w:rFonts w:asciiTheme="minorHAnsi" w:hAnsiTheme="minorHAnsi"/>
          <w:color w:val="000000" w:themeColor="text1"/>
          <w:sz w:val="22"/>
          <w:szCs w:val="22"/>
        </w:rPr>
        <w:t>requested through LBTH DAAT</w:t>
      </w:r>
      <w:r w:rsidR="00D857CB" w:rsidRPr="5A84454D">
        <w:rPr>
          <w:rFonts w:asciiTheme="minorHAnsi" w:hAnsiTheme="minorHAnsi"/>
          <w:color w:val="000000" w:themeColor="text1"/>
          <w:sz w:val="22"/>
          <w:szCs w:val="22"/>
        </w:rPr>
        <w:t xml:space="preserve"> (e.g</w:t>
      </w:r>
      <w:r w:rsidR="007B4947" w:rsidRPr="5A84454D">
        <w:rPr>
          <w:rFonts w:asciiTheme="minorHAnsi" w:hAnsiTheme="minorHAnsi"/>
          <w:color w:val="000000" w:themeColor="text1"/>
          <w:sz w:val="22"/>
          <w:szCs w:val="22"/>
        </w:rPr>
        <w:t>.</w:t>
      </w:r>
      <w:r w:rsidR="00D857CB" w:rsidRPr="5A84454D">
        <w:rPr>
          <w:rFonts w:asciiTheme="minorHAnsi" w:hAnsiTheme="minorHAnsi"/>
          <w:color w:val="000000" w:themeColor="text1"/>
          <w:sz w:val="22"/>
          <w:szCs w:val="22"/>
        </w:rPr>
        <w:t xml:space="preserve"> if allocated sharps bins become full  well in advance of the scheduled collection date)</w:t>
      </w:r>
    </w:p>
    <w:p w14:paraId="12481926" w14:textId="77777777" w:rsidR="007B4947" w:rsidRPr="000100BB" w:rsidRDefault="007B4947" w:rsidP="007B4947">
      <w:pPr>
        <w:pStyle w:val="NormalWeb"/>
        <w:numPr>
          <w:ilvl w:val="0"/>
          <w:numId w:val="5"/>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 xml:space="preserve">Confidentiality and Information Sharing </w:t>
      </w:r>
    </w:p>
    <w:p w14:paraId="135EE9B1" w14:textId="31C918DE" w:rsidR="006E599A" w:rsidRPr="000100BB" w:rsidRDefault="006E599A" w:rsidP="3FEFA680">
      <w:pPr>
        <w:pStyle w:val="NormalWeb"/>
        <w:numPr>
          <w:ilvl w:val="1"/>
          <w:numId w:val="5"/>
        </w:numPr>
        <w:shd w:val="clear" w:color="auto" w:fill="F6F6F6"/>
        <w:spacing w:line="360" w:lineRule="atLeast"/>
        <w:rPr>
          <w:rFonts w:asciiTheme="minorHAnsi" w:hAnsiTheme="minorHAnsi"/>
          <w:color w:val="000000" w:themeColor="text1"/>
          <w:sz w:val="22"/>
          <w:szCs w:val="22"/>
        </w:rPr>
      </w:pPr>
      <w:r w:rsidRPr="3FEFA680">
        <w:rPr>
          <w:rFonts w:asciiTheme="minorHAnsi" w:hAnsiTheme="minorHAnsi"/>
          <w:color w:val="000000" w:themeColor="text1"/>
          <w:sz w:val="22"/>
          <w:szCs w:val="22"/>
        </w:rPr>
        <w:t>The Pharmacy must ensure compliance with the General Data Protection Regulation</w:t>
      </w:r>
      <w:r w:rsidR="68C5EE12" w:rsidRPr="3FEFA680">
        <w:rPr>
          <w:rFonts w:asciiTheme="minorHAnsi" w:hAnsiTheme="minorHAnsi"/>
          <w:color w:val="000000" w:themeColor="text1"/>
          <w:sz w:val="22"/>
          <w:szCs w:val="22"/>
        </w:rPr>
        <w:t xml:space="preserve"> which came </w:t>
      </w:r>
      <w:r w:rsidRPr="3FEFA680">
        <w:rPr>
          <w:rFonts w:asciiTheme="minorHAnsi" w:hAnsiTheme="minorHAnsi"/>
          <w:color w:val="000000" w:themeColor="text1"/>
          <w:sz w:val="22"/>
          <w:szCs w:val="22"/>
        </w:rPr>
        <w:t>into effect on 25</w:t>
      </w:r>
      <w:r w:rsidRPr="3FEFA680">
        <w:rPr>
          <w:rFonts w:asciiTheme="minorHAnsi" w:hAnsiTheme="minorHAnsi"/>
          <w:color w:val="000000" w:themeColor="text1"/>
          <w:sz w:val="22"/>
          <w:szCs w:val="22"/>
          <w:vertAlign w:val="superscript"/>
        </w:rPr>
        <w:t>th</w:t>
      </w:r>
      <w:r w:rsidRPr="3FEFA680">
        <w:rPr>
          <w:rFonts w:asciiTheme="minorHAnsi" w:hAnsiTheme="minorHAnsi"/>
          <w:color w:val="000000" w:themeColor="text1"/>
          <w:sz w:val="22"/>
          <w:szCs w:val="22"/>
        </w:rPr>
        <w:t xml:space="preserve"> May 2018. </w:t>
      </w:r>
    </w:p>
    <w:p w14:paraId="79EA6E03" w14:textId="77777777" w:rsidR="007B4947" w:rsidRPr="000100BB" w:rsidRDefault="007B4947" w:rsidP="007B4947">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Service user confidentiality must be maintained. It is recognised that there are exceptional circumstances where confidentiality cannot or should not be preserved (refer to pharmacist professional codes of conduct and LBTH Terms and Conditions for further information).</w:t>
      </w:r>
    </w:p>
    <w:p w14:paraId="7D5DDA85" w14:textId="77777777" w:rsidR="006A2618" w:rsidRPr="000100BB" w:rsidRDefault="007B4947" w:rsidP="006A261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Neither party will disclose to any other third party, except those directly involved in the service users’ clinical management</w:t>
      </w:r>
      <w:r w:rsidR="00817C48" w:rsidRPr="000100BB">
        <w:rPr>
          <w:rFonts w:asciiTheme="minorHAnsi" w:hAnsiTheme="minorHAnsi"/>
          <w:color w:val="000000" w:themeColor="text1"/>
          <w:sz w:val="22"/>
          <w:szCs w:val="22"/>
        </w:rPr>
        <w:t xml:space="preserve"> information concerning any service user without their consent, except in defined exceptional circumstances.</w:t>
      </w:r>
    </w:p>
    <w:p w14:paraId="204AD3B4" w14:textId="77777777" w:rsidR="008D03F4" w:rsidRPr="000100BB" w:rsidRDefault="008D03F4" w:rsidP="006A261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For clients engaging in the </w:t>
      </w:r>
      <w:r w:rsidR="006E599A" w:rsidRPr="000100BB">
        <w:rPr>
          <w:rFonts w:asciiTheme="minorHAnsi" w:hAnsiTheme="minorHAnsi"/>
          <w:color w:val="000000" w:themeColor="text1"/>
          <w:sz w:val="22"/>
          <w:szCs w:val="22"/>
        </w:rPr>
        <w:t>BBV and STI support interventions</w:t>
      </w:r>
      <w:r w:rsidR="00104205" w:rsidRPr="000100BB">
        <w:rPr>
          <w:rFonts w:asciiTheme="minorHAnsi" w:hAnsiTheme="minorHAnsi"/>
          <w:color w:val="000000" w:themeColor="text1"/>
          <w:sz w:val="22"/>
          <w:szCs w:val="22"/>
        </w:rPr>
        <w:t>, client details will be shared with the Sexual H</w:t>
      </w:r>
      <w:r w:rsidR="00D57468" w:rsidRPr="000100BB">
        <w:rPr>
          <w:rFonts w:asciiTheme="minorHAnsi" w:hAnsiTheme="minorHAnsi"/>
          <w:color w:val="000000" w:themeColor="text1"/>
          <w:sz w:val="22"/>
          <w:szCs w:val="22"/>
        </w:rPr>
        <w:t>ealth Service and consent must</w:t>
      </w:r>
      <w:r w:rsidR="00104205" w:rsidRPr="000100BB">
        <w:rPr>
          <w:rFonts w:asciiTheme="minorHAnsi" w:hAnsiTheme="minorHAnsi"/>
          <w:color w:val="000000" w:themeColor="text1"/>
          <w:sz w:val="22"/>
          <w:szCs w:val="22"/>
        </w:rPr>
        <w:t xml:space="preserve"> be sought from the client.</w:t>
      </w:r>
      <w:r w:rsidR="006E599A" w:rsidRPr="000100BB">
        <w:rPr>
          <w:rFonts w:asciiTheme="minorHAnsi" w:hAnsiTheme="minorHAnsi"/>
          <w:color w:val="000000" w:themeColor="text1"/>
          <w:sz w:val="22"/>
          <w:szCs w:val="22"/>
        </w:rPr>
        <w:t xml:space="preserve"> For this purpose, written consent must be sought from the client </w:t>
      </w:r>
      <w:r w:rsidR="00D57468" w:rsidRPr="000100BB">
        <w:rPr>
          <w:rFonts w:asciiTheme="minorHAnsi" w:hAnsiTheme="minorHAnsi"/>
          <w:color w:val="000000" w:themeColor="text1"/>
          <w:sz w:val="22"/>
          <w:szCs w:val="22"/>
        </w:rPr>
        <w:t>to share their details.</w:t>
      </w:r>
    </w:p>
    <w:p w14:paraId="5677E4CE" w14:textId="77777777" w:rsidR="006E599A" w:rsidRPr="000100BB" w:rsidRDefault="006E599A" w:rsidP="006E599A">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Written consent must also be sought where referral is made to Reset Treatment Service</w:t>
      </w:r>
      <w:r w:rsidR="00D57468" w:rsidRPr="000100BB">
        <w:rPr>
          <w:rFonts w:asciiTheme="minorHAnsi" w:hAnsiTheme="minorHAnsi"/>
          <w:color w:val="000000" w:themeColor="text1"/>
          <w:sz w:val="22"/>
          <w:szCs w:val="22"/>
        </w:rPr>
        <w:t>.</w:t>
      </w:r>
    </w:p>
    <w:p w14:paraId="32FCCE75" w14:textId="77777777" w:rsidR="00924282" w:rsidRPr="000100BB" w:rsidRDefault="00924282" w:rsidP="5A84454D">
      <w:pPr>
        <w:pStyle w:val="NormalWeb"/>
        <w:numPr>
          <w:ilvl w:val="1"/>
          <w:numId w:val="5"/>
        </w:numPr>
        <w:shd w:val="clear" w:color="auto" w:fill="F6F6F6"/>
        <w:spacing w:line="360" w:lineRule="atLeast"/>
        <w:rPr>
          <w:rFonts w:asciiTheme="minorHAnsi" w:hAnsiTheme="minorHAnsi"/>
          <w:color w:val="000000" w:themeColor="text1"/>
          <w:sz w:val="22"/>
          <w:szCs w:val="22"/>
        </w:rPr>
      </w:pPr>
      <w:r w:rsidRPr="5A84454D">
        <w:rPr>
          <w:rFonts w:asciiTheme="minorHAnsi" w:hAnsiTheme="minorHAnsi"/>
          <w:color w:val="000000" w:themeColor="text1"/>
          <w:sz w:val="22"/>
          <w:szCs w:val="22"/>
        </w:rPr>
        <w:t>A consent form template will be developed and provided by the DAAT.</w:t>
      </w:r>
    </w:p>
    <w:p w14:paraId="657A2103" w14:textId="77777777" w:rsidR="00817C48" w:rsidRPr="000100BB" w:rsidRDefault="00817C48" w:rsidP="00817C48">
      <w:pPr>
        <w:pStyle w:val="NormalWeb"/>
        <w:numPr>
          <w:ilvl w:val="0"/>
          <w:numId w:val="5"/>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 xml:space="preserve">Expected Outcomes </w:t>
      </w:r>
    </w:p>
    <w:p w14:paraId="4A7202AF" w14:textId="77777777" w:rsidR="007B4947" w:rsidRPr="000100BB" w:rsidRDefault="00817C48" w:rsidP="00817C4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An increase in the number of needle exchange transactions taking place across Tower Hamlets </w:t>
      </w:r>
      <w:r w:rsidR="007B4947" w:rsidRPr="000100BB">
        <w:rPr>
          <w:rFonts w:asciiTheme="minorHAnsi" w:hAnsiTheme="minorHAnsi"/>
          <w:color w:val="000000" w:themeColor="text1"/>
          <w:sz w:val="22"/>
          <w:szCs w:val="22"/>
        </w:rPr>
        <w:t xml:space="preserve"> </w:t>
      </w:r>
    </w:p>
    <w:p w14:paraId="3F08C2A8" w14:textId="77777777" w:rsidR="00817C48" w:rsidRPr="000100BB" w:rsidRDefault="00817C48" w:rsidP="00817C4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Increased access to safe injecting equipment for injecting drug users</w:t>
      </w:r>
    </w:p>
    <w:p w14:paraId="3FAB68FE" w14:textId="77777777" w:rsidR="00817C48" w:rsidRPr="000100BB" w:rsidRDefault="00817C48" w:rsidP="00817C4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Reduced levels of drug related litter and paraphernalia being disposed of unsafely and inappropriately </w:t>
      </w:r>
    </w:p>
    <w:p w14:paraId="01BF516B" w14:textId="77777777" w:rsidR="00817C48" w:rsidRPr="000100BB" w:rsidRDefault="00817C48" w:rsidP="00817C4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Increased number of drug users engaging in structured treatment</w:t>
      </w:r>
    </w:p>
    <w:p w14:paraId="5764730E" w14:textId="77777777" w:rsidR="00817C48" w:rsidRPr="000100BB" w:rsidRDefault="00817C48" w:rsidP="00817C4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Increased access to screening and diagnosis of blood borne viruses and reduced spread of blood borne viruses amongst injecting drug users.</w:t>
      </w:r>
    </w:p>
    <w:p w14:paraId="20C22C8B" w14:textId="77777777" w:rsidR="00817C48" w:rsidRPr="000100BB" w:rsidRDefault="0021145B" w:rsidP="00817C4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Promote safe injecting practice and reduce</w:t>
      </w:r>
      <w:r w:rsidR="00817C48" w:rsidRPr="000100BB">
        <w:rPr>
          <w:rFonts w:asciiTheme="minorHAnsi" w:hAnsiTheme="minorHAnsi"/>
          <w:color w:val="000000" w:themeColor="text1"/>
          <w:sz w:val="22"/>
          <w:szCs w:val="22"/>
        </w:rPr>
        <w:t xml:space="preserve"> practice of sharing injecting equipment. </w:t>
      </w:r>
    </w:p>
    <w:p w14:paraId="56CF96F1" w14:textId="77777777" w:rsidR="00817C48" w:rsidRPr="000100BB" w:rsidRDefault="00817C48" w:rsidP="00817C4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Increased access to foil</w:t>
      </w:r>
      <w:r w:rsidR="00A41455" w:rsidRPr="000100BB">
        <w:rPr>
          <w:rFonts w:asciiTheme="minorHAnsi" w:hAnsiTheme="minorHAnsi"/>
          <w:color w:val="000000" w:themeColor="text1"/>
          <w:sz w:val="22"/>
          <w:szCs w:val="22"/>
        </w:rPr>
        <w:t xml:space="preserve"> as a harm reduction initiative, promoting</w:t>
      </w:r>
      <w:r w:rsidRPr="000100BB">
        <w:rPr>
          <w:rFonts w:asciiTheme="minorHAnsi" w:hAnsiTheme="minorHAnsi"/>
          <w:color w:val="000000" w:themeColor="text1"/>
          <w:sz w:val="22"/>
          <w:szCs w:val="22"/>
        </w:rPr>
        <w:t xml:space="preserve"> smoking</w:t>
      </w:r>
      <w:r w:rsidR="006A2618" w:rsidRPr="000100BB">
        <w:rPr>
          <w:rFonts w:asciiTheme="minorHAnsi" w:hAnsiTheme="minorHAnsi"/>
          <w:color w:val="000000" w:themeColor="text1"/>
          <w:sz w:val="22"/>
          <w:szCs w:val="22"/>
        </w:rPr>
        <w:t xml:space="preserve"> as an alternative to injecting.</w:t>
      </w:r>
    </w:p>
    <w:p w14:paraId="683DC1D1" w14:textId="77777777" w:rsidR="00CF0567" w:rsidRPr="000100BB" w:rsidRDefault="00CF0567" w:rsidP="00817C4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Reduce dru</w:t>
      </w:r>
      <w:r w:rsidR="006A2618" w:rsidRPr="000100BB">
        <w:rPr>
          <w:rFonts w:asciiTheme="minorHAnsi" w:hAnsiTheme="minorHAnsi"/>
          <w:color w:val="000000" w:themeColor="text1"/>
          <w:sz w:val="22"/>
          <w:szCs w:val="22"/>
        </w:rPr>
        <w:t>g related deaths, whether deaths associated with overdose or health complications related to unsafe injecting practice.</w:t>
      </w:r>
      <w:r w:rsidR="00B17545">
        <w:rPr>
          <w:rFonts w:asciiTheme="minorHAnsi" w:hAnsiTheme="minorHAnsi"/>
          <w:color w:val="000000" w:themeColor="text1"/>
          <w:sz w:val="22"/>
          <w:szCs w:val="22"/>
        </w:rPr>
        <w:br/>
      </w:r>
    </w:p>
    <w:p w14:paraId="304F4592" w14:textId="77777777" w:rsidR="00817C48" w:rsidRPr="000100BB" w:rsidRDefault="00817C48" w:rsidP="00817C48">
      <w:pPr>
        <w:pStyle w:val="NormalWeb"/>
        <w:numPr>
          <w:ilvl w:val="0"/>
          <w:numId w:val="5"/>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Quality and Performance Indicators</w:t>
      </w:r>
    </w:p>
    <w:p w14:paraId="3A43BE27" w14:textId="77777777" w:rsidR="00860CFE" w:rsidRPr="000100BB" w:rsidRDefault="00860CFE" w:rsidP="00860CFE">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The Pharmacy will successfully refer a minimum </w:t>
      </w:r>
      <w:r w:rsidR="009F07D0" w:rsidRPr="000100BB">
        <w:rPr>
          <w:rFonts w:asciiTheme="minorHAnsi" w:hAnsiTheme="minorHAnsi"/>
          <w:color w:val="000000" w:themeColor="text1"/>
          <w:sz w:val="22"/>
          <w:szCs w:val="22"/>
        </w:rPr>
        <w:t>10</w:t>
      </w:r>
      <w:r w:rsidR="00A37BE0" w:rsidRPr="000100BB">
        <w:rPr>
          <w:rFonts w:asciiTheme="minorHAnsi" w:hAnsiTheme="minorHAnsi"/>
          <w:color w:val="000000" w:themeColor="text1"/>
          <w:sz w:val="22"/>
          <w:szCs w:val="22"/>
        </w:rPr>
        <w:t xml:space="preserve"> clients, with their consent, </w:t>
      </w:r>
      <w:r w:rsidR="0072218C" w:rsidRPr="000100BB">
        <w:rPr>
          <w:rFonts w:asciiTheme="minorHAnsi" w:hAnsiTheme="minorHAnsi"/>
          <w:color w:val="000000" w:themeColor="text1"/>
          <w:sz w:val="22"/>
          <w:szCs w:val="22"/>
        </w:rPr>
        <w:t xml:space="preserve">into </w:t>
      </w:r>
      <w:r w:rsidR="00080F43" w:rsidRPr="000100BB">
        <w:rPr>
          <w:rFonts w:asciiTheme="minorHAnsi" w:hAnsiTheme="minorHAnsi"/>
          <w:color w:val="000000" w:themeColor="text1"/>
          <w:sz w:val="22"/>
          <w:szCs w:val="22"/>
        </w:rPr>
        <w:t>Reset Treatment Service</w:t>
      </w:r>
      <w:r w:rsidRPr="000100BB">
        <w:rPr>
          <w:rFonts w:asciiTheme="minorHAnsi" w:hAnsiTheme="minorHAnsi"/>
          <w:color w:val="000000" w:themeColor="text1"/>
          <w:sz w:val="22"/>
          <w:szCs w:val="22"/>
        </w:rPr>
        <w:t xml:space="preserve"> during each year of the contract. This will be evidenced and monitored through NDTMS Adult Activity Reports</w:t>
      </w:r>
      <w:r w:rsidR="00C109A7" w:rsidRPr="000100BB">
        <w:rPr>
          <w:rFonts w:asciiTheme="minorHAnsi" w:hAnsiTheme="minorHAnsi"/>
          <w:color w:val="000000" w:themeColor="text1"/>
          <w:sz w:val="22"/>
          <w:szCs w:val="22"/>
        </w:rPr>
        <w:t xml:space="preserve"> collated by the DAAT and </w:t>
      </w:r>
      <w:r w:rsidR="007B4E74" w:rsidRPr="000100BB">
        <w:rPr>
          <w:rFonts w:asciiTheme="minorHAnsi" w:hAnsiTheme="minorHAnsi"/>
          <w:color w:val="000000" w:themeColor="text1"/>
          <w:sz w:val="22"/>
          <w:szCs w:val="22"/>
        </w:rPr>
        <w:t>Reset</w:t>
      </w:r>
      <w:r w:rsidR="00C109A7" w:rsidRPr="000100BB">
        <w:rPr>
          <w:rFonts w:asciiTheme="minorHAnsi" w:hAnsiTheme="minorHAnsi"/>
          <w:color w:val="000000" w:themeColor="text1"/>
          <w:sz w:val="22"/>
          <w:szCs w:val="22"/>
        </w:rPr>
        <w:t xml:space="preserve"> </w:t>
      </w:r>
      <w:r w:rsidR="001E50B4">
        <w:rPr>
          <w:rFonts w:asciiTheme="minorHAnsi" w:hAnsiTheme="minorHAnsi"/>
          <w:color w:val="000000" w:themeColor="text1"/>
          <w:sz w:val="22"/>
          <w:szCs w:val="22"/>
        </w:rPr>
        <w:t xml:space="preserve">Treatment </w:t>
      </w:r>
      <w:r w:rsidR="00C109A7" w:rsidRPr="000100BB">
        <w:rPr>
          <w:rFonts w:asciiTheme="minorHAnsi" w:hAnsiTheme="minorHAnsi"/>
          <w:color w:val="000000" w:themeColor="text1"/>
          <w:sz w:val="22"/>
          <w:szCs w:val="22"/>
        </w:rPr>
        <w:t>Service</w:t>
      </w:r>
      <w:r w:rsidRPr="000100BB">
        <w:rPr>
          <w:rFonts w:asciiTheme="minorHAnsi" w:hAnsiTheme="minorHAnsi"/>
          <w:color w:val="000000" w:themeColor="text1"/>
          <w:sz w:val="22"/>
          <w:szCs w:val="22"/>
        </w:rPr>
        <w:t xml:space="preserve">. </w:t>
      </w:r>
    </w:p>
    <w:p w14:paraId="517DF398" w14:textId="77777777" w:rsidR="00C109A7" w:rsidRPr="000100BB" w:rsidRDefault="00C109A7" w:rsidP="00860CFE">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This </w:t>
      </w:r>
      <w:r w:rsidR="009F07D0" w:rsidRPr="000100BB">
        <w:rPr>
          <w:rFonts w:asciiTheme="minorHAnsi" w:hAnsiTheme="minorHAnsi"/>
          <w:color w:val="000000" w:themeColor="text1"/>
          <w:sz w:val="22"/>
          <w:szCs w:val="22"/>
        </w:rPr>
        <w:t>target refers to</w:t>
      </w:r>
      <w:r w:rsidRPr="000100BB">
        <w:rPr>
          <w:rFonts w:asciiTheme="minorHAnsi" w:hAnsiTheme="minorHAnsi"/>
          <w:color w:val="000000" w:themeColor="text1"/>
          <w:sz w:val="22"/>
          <w:szCs w:val="22"/>
        </w:rPr>
        <w:t xml:space="preserve"> clients accessing the needle exchange service who report non-engagement with drug and alcohol treatment services.</w:t>
      </w:r>
    </w:p>
    <w:p w14:paraId="4BE58B56" w14:textId="77777777" w:rsidR="00B17249" w:rsidRPr="000100BB" w:rsidRDefault="009F07D0" w:rsidP="00860CFE">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Clients referred must</w:t>
      </w:r>
      <w:r w:rsidR="00B17249" w:rsidRPr="000100BB">
        <w:rPr>
          <w:rFonts w:asciiTheme="minorHAnsi" w:hAnsiTheme="minorHAnsi"/>
          <w:color w:val="000000" w:themeColor="text1"/>
          <w:sz w:val="22"/>
          <w:szCs w:val="22"/>
        </w:rPr>
        <w:t xml:space="preserve"> be Tower Hamlets residents</w:t>
      </w:r>
      <w:r w:rsidR="00232B65" w:rsidRPr="000100BB">
        <w:rPr>
          <w:rFonts w:asciiTheme="minorHAnsi" w:hAnsiTheme="minorHAnsi"/>
          <w:color w:val="000000" w:themeColor="text1"/>
          <w:sz w:val="22"/>
          <w:szCs w:val="22"/>
        </w:rPr>
        <w:t xml:space="preserve"> and referrals made to Reset Treatment Service</w:t>
      </w:r>
      <w:r w:rsidR="00B17249" w:rsidRPr="000100BB">
        <w:rPr>
          <w:rFonts w:asciiTheme="minorHAnsi" w:hAnsiTheme="minorHAnsi"/>
          <w:color w:val="000000" w:themeColor="text1"/>
          <w:sz w:val="22"/>
          <w:szCs w:val="22"/>
        </w:rPr>
        <w:t>.</w:t>
      </w:r>
      <w:r w:rsidR="00763277" w:rsidRPr="000100BB">
        <w:rPr>
          <w:rFonts w:asciiTheme="minorHAnsi" w:hAnsiTheme="minorHAnsi"/>
          <w:color w:val="000000" w:themeColor="text1"/>
          <w:sz w:val="22"/>
          <w:szCs w:val="22"/>
        </w:rPr>
        <w:t xml:space="preserve"> </w:t>
      </w:r>
    </w:p>
    <w:p w14:paraId="603C6386" w14:textId="77777777" w:rsidR="00FE6D6E" w:rsidRPr="000100BB" w:rsidRDefault="00FE6D6E" w:rsidP="00860CFE">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A successful referral means a referral resulting in a service user commencing structured treatment at a community</w:t>
      </w:r>
      <w:r w:rsidR="001D513B" w:rsidRPr="000100BB">
        <w:rPr>
          <w:rFonts w:asciiTheme="minorHAnsi" w:hAnsiTheme="minorHAnsi"/>
          <w:color w:val="000000" w:themeColor="text1"/>
          <w:sz w:val="22"/>
          <w:szCs w:val="22"/>
        </w:rPr>
        <w:t xml:space="preserve"> based</w:t>
      </w:r>
      <w:r w:rsidRPr="000100BB">
        <w:rPr>
          <w:rFonts w:asciiTheme="minorHAnsi" w:hAnsiTheme="minorHAnsi"/>
          <w:color w:val="000000" w:themeColor="text1"/>
          <w:sz w:val="22"/>
          <w:szCs w:val="22"/>
        </w:rPr>
        <w:t xml:space="preserve"> substance </w:t>
      </w:r>
      <w:r w:rsidR="00C109A7" w:rsidRPr="000100BB">
        <w:rPr>
          <w:rFonts w:asciiTheme="minorHAnsi" w:hAnsiTheme="minorHAnsi"/>
          <w:color w:val="000000" w:themeColor="text1"/>
          <w:sz w:val="22"/>
          <w:szCs w:val="22"/>
        </w:rPr>
        <w:t xml:space="preserve">drug and alcohol </w:t>
      </w:r>
      <w:r w:rsidRPr="000100BB">
        <w:rPr>
          <w:rFonts w:asciiTheme="minorHAnsi" w:hAnsiTheme="minorHAnsi"/>
          <w:color w:val="000000" w:themeColor="text1"/>
          <w:sz w:val="22"/>
          <w:szCs w:val="22"/>
        </w:rPr>
        <w:t>treatment service</w:t>
      </w:r>
      <w:r w:rsidR="00BD2178" w:rsidRPr="000100BB">
        <w:rPr>
          <w:rFonts w:asciiTheme="minorHAnsi" w:hAnsiTheme="minorHAnsi"/>
          <w:color w:val="000000" w:themeColor="text1"/>
          <w:sz w:val="22"/>
          <w:szCs w:val="22"/>
        </w:rPr>
        <w:t xml:space="preserve"> i.e. Reset Treatment Service</w:t>
      </w:r>
      <w:r w:rsidRPr="000100BB">
        <w:rPr>
          <w:rFonts w:asciiTheme="minorHAnsi" w:hAnsiTheme="minorHAnsi"/>
          <w:color w:val="000000" w:themeColor="text1"/>
          <w:sz w:val="22"/>
          <w:szCs w:val="22"/>
        </w:rPr>
        <w:t>.</w:t>
      </w:r>
      <w:r w:rsidR="007A449A" w:rsidRPr="000100BB">
        <w:rPr>
          <w:rFonts w:asciiTheme="minorHAnsi" w:hAnsiTheme="minorHAnsi"/>
          <w:color w:val="000000" w:themeColor="text1"/>
          <w:sz w:val="22"/>
          <w:szCs w:val="22"/>
        </w:rPr>
        <w:t xml:space="preserve"> This will be referred to as a ‘treatment start’.</w:t>
      </w:r>
    </w:p>
    <w:p w14:paraId="6EFD86B0" w14:textId="77777777" w:rsidR="00B7463F" w:rsidRPr="000100BB" w:rsidRDefault="00B7463F" w:rsidP="00B7463F">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A referral requires the completion and sending of a referral form</w:t>
      </w:r>
      <w:r w:rsidR="00B17249" w:rsidRPr="000100BB">
        <w:rPr>
          <w:rFonts w:asciiTheme="minorHAnsi" w:hAnsiTheme="minorHAnsi"/>
          <w:color w:val="000000" w:themeColor="text1"/>
          <w:sz w:val="22"/>
          <w:szCs w:val="22"/>
        </w:rPr>
        <w:t xml:space="preserve"> to </w:t>
      </w:r>
      <w:r w:rsidR="00080F43" w:rsidRPr="000100BB">
        <w:rPr>
          <w:rFonts w:asciiTheme="minorHAnsi" w:hAnsiTheme="minorHAnsi"/>
          <w:color w:val="000000" w:themeColor="text1"/>
          <w:sz w:val="22"/>
          <w:szCs w:val="22"/>
        </w:rPr>
        <w:t xml:space="preserve">Reset Treatment </w:t>
      </w:r>
      <w:r w:rsidR="00B17249" w:rsidRPr="000100BB">
        <w:rPr>
          <w:rFonts w:asciiTheme="minorHAnsi" w:hAnsiTheme="minorHAnsi"/>
          <w:color w:val="000000" w:themeColor="text1"/>
          <w:sz w:val="22"/>
          <w:szCs w:val="22"/>
        </w:rPr>
        <w:t>Service</w:t>
      </w:r>
      <w:r w:rsidRPr="000100BB">
        <w:rPr>
          <w:rFonts w:asciiTheme="minorHAnsi" w:hAnsiTheme="minorHAnsi"/>
          <w:color w:val="000000" w:themeColor="text1"/>
          <w:sz w:val="22"/>
          <w:szCs w:val="22"/>
        </w:rPr>
        <w:t>; contact details for relevant services and a copy of the referral form will be provided by the DAAT.</w:t>
      </w:r>
      <w:r w:rsidR="00763277" w:rsidRPr="000100BB">
        <w:rPr>
          <w:rFonts w:asciiTheme="minorHAnsi" w:hAnsiTheme="minorHAnsi"/>
          <w:color w:val="000000" w:themeColor="text1"/>
          <w:sz w:val="22"/>
          <w:szCs w:val="22"/>
        </w:rPr>
        <w:t xml:space="preserve"> </w:t>
      </w:r>
    </w:p>
    <w:p w14:paraId="504D35EF" w14:textId="77777777" w:rsidR="00763277" w:rsidRPr="000100BB" w:rsidRDefault="00763277" w:rsidP="00B7463F">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Referral forms must be sent securely, through a secure e-mail to ensure data security. </w:t>
      </w:r>
    </w:p>
    <w:p w14:paraId="37C39AC9" w14:textId="77777777" w:rsidR="00B7463F" w:rsidRPr="000100BB" w:rsidRDefault="007A449A" w:rsidP="00B7463F">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Meeting the above target of treatment starts </w:t>
      </w:r>
      <w:r w:rsidR="00EB1093" w:rsidRPr="000100BB">
        <w:rPr>
          <w:rFonts w:asciiTheme="minorHAnsi" w:hAnsiTheme="minorHAnsi"/>
          <w:color w:val="000000" w:themeColor="text1"/>
          <w:sz w:val="22"/>
          <w:szCs w:val="22"/>
        </w:rPr>
        <w:t>will be attached to a Payment by Results elements, the details of which are outlined below.</w:t>
      </w:r>
    </w:p>
    <w:p w14:paraId="0A8A6B44" w14:textId="77777777" w:rsidR="00846730" w:rsidRPr="000100BB" w:rsidRDefault="00E249D2" w:rsidP="00597393">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LBTH </w:t>
      </w:r>
      <w:r w:rsidR="00BD2178" w:rsidRPr="000100BB">
        <w:rPr>
          <w:rFonts w:asciiTheme="minorHAnsi" w:hAnsiTheme="minorHAnsi"/>
          <w:color w:val="000000" w:themeColor="text1"/>
          <w:sz w:val="22"/>
          <w:szCs w:val="22"/>
        </w:rPr>
        <w:t xml:space="preserve">DAAT will carry out </w:t>
      </w:r>
      <w:r w:rsidR="00280597" w:rsidRPr="000100BB">
        <w:rPr>
          <w:rFonts w:asciiTheme="minorHAnsi" w:hAnsiTheme="minorHAnsi"/>
          <w:color w:val="000000" w:themeColor="text1"/>
          <w:sz w:val="22"/>
          <w:szCs w:val="22"/>
        </w:rPr>
        <w:t>an audit</w:t>
      </w:r>
      <w:r w:rsidR="00BD2178" w:rsidRPr="000100BB">
        <w:rPr>
          <w:rFonts w:asciiTheme="minorHAnsi" w:hAnsiTheme="minorHAnsi"/>
          <w:color w:val="000000" w:themeColor="text1"/>
          <w:sz w:val="22"/>
          <w:szCs w:val="22"/>
        </w:rPr>
        <w:t xml:space="preserve"> on an annual basis</w:t>
      </w:r>
      <w:r w:rsidR="00080F43" w:rsidRPr="000100BB">
        <w:rPr>
          <w:rFonts w:asciiTheme="minorHAnsi" w:hAnsiTheme="minorHAnsi"/>
          <w:color w:val="000000" w:themeColor="text1"/>
          <w:sz w:val="22"/>
          <w:szCs w:val="22"/>
        </w:rPr>
        <w:t xml:space="preserve"> with prior notice</w:t>
      </w:r>
      <w:r w:rsidR="00BD2178" w:rsidRPr="000100BB">
        <w:rPr>
          <w:rFonts w:asciiTheme="minorHAnsi" w:hAnsiTheme="minorHAnsi"/>
          <w:color w:val="000000" w:themeColor="text1"/>
          <w:sz w:val="22"/>
          <w:szCs w:val="22"/>
        </w:rPr>
        <w:t>.</w:t>
      </w:r>
    </w:p>
    <w:p w14:paraId="68420088" w14:textId="77777777" w:rsidR="0016473B" w:rsidRPr="000100BB" w:rsidRDefault="0016473B" w:rsidP="00597393">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Performance indicators and targets will be reviewed after the first year of the contract and additional performance targets may be introduced. </w:t>
      </w:r>
    </w:p>
    <w:p w14:paraId="224A06E6" w14:textId="77777777" w:rsidR="006A788D" w:rsidRPr="000100BB" w:rsidRDefault="006A788D" w:rsidP="00597393">
      <w:pPr>
        <w:pStyle w:val="NormalWeb"/>
        <w:numPr>
          <w:ilvl w:val="1"/>
          <w:numId w:val="5"/>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 xml:space="preserve">Where essential </w:t>
      </w:r>
      <w:r w:rsidR="00795835" w:rsidRPr="000100BB">
        <w:rPr>
          <w:rFonts w:asciiTheme="minorHAnsi" w:hAnsiTheme="minorHAnsi"/>
          <w:b/>
          <w:color w:val="000000" w:themeColor="text1"/>
          <w:sz w:val="22"/>
          <w:szCs w:val="22"/>
        </w:rPr>
        <w:t xml:space="preserve">and required </w:t>
      </w:r>
      <w:r w:rsidRPr="000100BB">
        <w:rPr>
          <w:rFonts w:asciiTheme="minorHAnsi" w:hAnsiTheme="minorHAnsi"/>
          <w:b/>
          <w:color w:val="000000" w:themeColor="text1"/>
          <w:sz w:val="22"/>
          <w:szCs w:val="22"/>
        </w:rPr>
        <w:t>registration, training and policies are not currently in place, the Pharmacy awarded this contract must commit to completing the above requirements and be able to submit evidence prior to implementation of the contract.</w:t>
      </w:r>
      <w:r w:rsidR="00763277" w:rsidRPr="000100BB">
        <w:rPr>
          <w:rFonts w:asciiTheme="minorHAnsi" w:hAnsiTheme="minorHAnsi"/>
          <w:b/>
          <w:color w:val="000000" w:themeColor="text1"/>
          <w:sz w:val="22"/>
          <w:szCs w:val="22"/>
        </w:rPr>
        <w:t xml:space="preserve"> This is expected to be no longer than 3 months. </w:t>
      </w:r>
      <w:r w:rsidR="00B17545">
        <w:rPr>
          <w:rFonts w:asciiTheme="minorHAnsi" w:hAnsiTheme="minorHAnsi"/>
          <w:b/>
          <w:color w:val="000000" w:themeColor="text1"/>
          <w:sz w:val="22"/>
          <w:szCs w:val="22"/>
        </w:rPr>
        <w:br/>
      </w:r>
    </w:p>
    <w:p w14:paraId="1553219B" w14:textId="77777777" w:rsidR="00CE3280" w:rsidRPr="000100BB" w:rsidRDefault="00CE3280" w:rsidP="00CE3280">
      <w:pPr>
        <w:pStyle w:val="NormalWeb"/>
        <w:numPr>
          <w:ilvl w:val="0"/>
          <w:numId w:val="5"/>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 xml:space="preserve">Activity and Data Recording </w:t>
      </w:r>
    </w:p>
    <w:p w14:paraId="4E012A3A" w14:textId="77777777" w:rsidR="00CE3280" w:rsidRPr="000100BB" w:rsidRDefault="00795835" w:rsidP="00CE328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must</w:t>
      </w:r>
      <w:r w:rsidR="00422DC9" w:rsidRPr="000100BB">
        <w:rPr>
          <w:rFonts w:asciiTheme="minorHAnsi" w:hAnsiTheme="minorHAnsi"/>
          <w:color w:val="000000" w:themeColor="text1"/>
          <w:sz w:val="22"/>
          <w:szCs w:val="22"/>
        </w:rPr>
        <w:t xml:space="preserve"> record each exchange on Pharm</w:t>
      </w:r>
      <w:r w:rsidR="00CE3280" w:rsidRPr="000100BB">
        <w:rPr>
          <w:rFonts w:asciiTheme="minorHAnsi" w:hAnsiTheme="minorHAnsi"/>
          <w:color w:val="000000" w:themeColor="text1"/>
          <w:sz w:val="22"/>
          <w:szCs w:val="22"/>
        </w:rPr>
        <w:t>Outcomes; data recorded will include:</w:t>
      </w:r>
    </w:p>
    <w:p w14:paraId="7E81AF25" w14:textId="77777777" w:rsidR="00CE3280" w:rsidRPr="000100BB" w:rsidRDefault="00D32CC4"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Unique identification number of each client accessing the service</w:t>
      </w:r>
    </w:p>
    <w:p w14:paraId="6F7445D4" w14:textId="77777777" w:rsidR="00D32CC4" w:rsidRPr="000100BB" w:rsidRDefault="00D32CC4"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Ethnicity of client</w:t>
      </w:r>
    </w:p>
    <w:p w14:paraId="0AFB080C" w14:textId="77777777" w:rsidR="00D32CC4" w:rsidRPr="000100BB" w:rsidRDefault="00D32CC4"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Gender of client</w:t>
      </w:r>
    </w:p>
    <w:p w14:paraId="49751931" w14:textId="77777777" w:rsidR="00507A57" w:rsidRPr="000100BB" w:rsidRDefault="00507A57"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Sexual Orientation </w:t>
      </w:r>
    </w:p>
    <w:p w14:paraId="754EA728" w14:textId="77777777" w:rsidR="00D32CC4" w:rsidRPr="000100BB" w:rsidRDefault="00D32CC4"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Date the exchange took place</w:t>
      </w:r>
    </w:p>
    <w:p w14:paraId="647FCC1F" w14:textId="77777777" w:rsidR="00D32CC4" w:rsidRPr="000100BB" w:rsidRDefault="00D32CC4"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Type and quantity of packs provided</w:t>
      </w:r>
    </w:p>
    <w:p w14:paraId="1C5C80EE" w14:textId="77777777" w:rsidR="00D32CC4" w:rsidRPr="000100BB" w:rsidRDefault="00D32CC4"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Additional sharps bins provided</w:t>
      </w:r>
    </w:p>
    <w:p w14:paraId="09E78A44" w14:textId="77777777" w:rsidR="00426C17" w:rsidRPr="000100BB" w:rsidRDefault="00426C17"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Foil provided</w:t>
      </w:r>
    </w:p>
    <w:p w14:paraId="39F498C2" w14:textId="77777777" w:rsidR="00D32CC4" w:rsidRPr="000100BB" w:rsidRDefault="00D32CC4"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Any equipment returned</w:t>
      </w:r>
    </w:p>
    <w:p w14:paraId="20125AA6" w14:textId="77777777" w:rsidR="00D32CC4" w:rsidRPr="000100BB" w:rsidRDefault="00D32CC4"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Interventions offered</w:t>
      </w:r>
    </w:p>
    <w:p w14:paraId="49CBD597" w14:textId="77777777" w:rsidR="00A955E5" w:rsidRPr="000100BB" w:rsidRDefault="00A955E5"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BBV </w:t>
      </w:r>
      <w:r w:rsidR="00104205" w:rsidRPr="000100BB">
        <w:rPr>
          <w:rFonts w:asciiTheme="minorHAnsi" w:hAnsiTheme="minorHAnsi"/>
          <w:color w:val="000000" w:themeColor="text1"/>
          <w:sz w:val="22"/>
          <w:szCs w:val="22"/>
        </w:rPr>
        <w:t xml:space="preserve">and STI </w:t>
      </w:r>
      <w:r w:rsidRPr="000100BB">
        <w:rPr>
          <w:rFonts w:asciiTheme="minorHAnsi" w:hAnsiTheme="minorHAnsi"/>
          <w:color w:val="000000" w:themeColor="text1"/>
          <w:sz w:val="22"/>
          <w:szCs w:val="22"/>
        </w:rPr>
        <w:t>intervention offered</w:t>
      </w:r>
    </w:p>
    <w:p w14:paraId="7B0E8661" w14:textId="77777777" w:rsidR="00A955E5" w:rsidRPr="000100BB" w:rsidRDefault="00A955E5"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BBV </w:t>
      </w:r>
      <w:r w:rsidR="00104205" w:rsidRPr="000100BB">
        <w:rPr>
          <w:rFonts w:asciiTheme="minorHAnsi" w:hAnsiTheme="minorHAnsi"/>
          <w:color w:val="000000" w:themeColor="text1"/>
          <w:sz w:val="22"/>
          <w:szCs w:val="22"/>
        </w:rPr>
        <w:t xml:space="preserve">and STI </w:t>
      </w:r>
      <w:r w:rsidRPr="000100BB">
        <w:rPr>
          <w:rFonts w:asciiTheme="minorHAnsi" w:hAnsiTheme="minorHAnsi"/>
          <w:color w:val="000000" w:themeColor="text1"/>
          <w:sz w:val="22"/>
          <w:szCs w:val="22"/>
        </w:rPr>
        <w:t>intervention uptake</w:t>
      </w:r>
    </w:p>
    <w:p w14:paraId="491AB466" w14:textId="77777777" w:rsidR="00507A57" w:rsidRPr="000100BB" w:rsidRDefault="00560317"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Knowledge of and a</w:t>
      </w:r>
      <w:r w:rsidR="00507A57" w:rsidRPr="000100BB">
        <w:rPr>
          <w:rFonts w:asciiTheme="minorHAnsi" w:hAnsiTheme="minorHAnsi"/>
          <w:color w:val="000000" w:themeColor="text1"/>
          <w:sz w:val="22"/>
          <w:szCs w:val="22"/>
        </w:rPr>
        <w:t xml:space="preserve">ccess to Naloxone/ Prenoxad </w:t>
      </w:r>
    </w:p>
    <w:p w14:paraId="221FA9AC" w14:textId="77777777" w:rsidR="00507A57" w:rsidRPr="000100BB" w:rsidRDefault="00080F43"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N</w:t>
      </w:r>
      <w:r w:rsidR="00507A57" w:rsidRPr="000100BB">
        <w:rPr>
          <w:rFonts w:asciiTheme="minorHAnsi" w:hAnsiTheme="minorHAnsi"/>
          <w:color w:val="000000" w:themeColor="text1"/>
          <w:sz w:val="22"/>
          <w:szCs w:val="22"/>
        </w:rPr>
        <w:t xml:space="preserve">aloxone/ prenoxad </w:t>
      </w:r>
      <w:r w:rsidRPr="000100BB">
        <w:rPr>
          <w:rFonts w:asciiTheme="minorHAnsi" w:hAnsiTheme="minorHAnsi"/>
          <w:color w:val="000000" w:themeColor="text1"/>
          <w:sz w:val="22"/>
          <w:szCs w:val="22"/>
        </w:rPr>
        <w:t>offered</w:t>
      </w:r>
    </w:p>
    <w:p w14:paraId="4D0827E1" w14:textId="77777777" w:rsidR="00080F43" w:rsidRPr="000100BB" w:rsidRDefault="00080F43" w:rsidP="00080F43">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Naloxone/ prenoxad uptake</w:t>
      </w:r>
    </w:p>
    <w:p w14:paraId="7594D8AC" w14:textId="77777777" w:rsidR="0058526F" w:rsidRPr="000100BB" w:rsidRDefault="0058526F" w:rsidP="00080F43">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Naloxone/ prenoxad kit expiry date(where given out)</w:t>
      </w:r>
    </w:p>
    <w:p w14:paraId="486A7289" w14:textId="77777777" w:rsidR="001142D5" w:rsidRPr="000100BB" w:rsidRDefault="001142D5"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Whether client is already engaged in treatment</w:t>
      </w:r>
    </w:p>
    <w:p w14:paraId="1D8149BA" w14:textId="77777777" w:rsidR="00D32CC4" w:rsidRPr="000100BB" w:rsidRDefault="00D32CC4"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Referral made</w:t>
      </w:r>
      <w:r w:rsidR="005C6D8E" w:rsidRPr="000100BB">
        <w:rPr>
          <w:rFonts w:asciiTheme="minorHAnsi" w:hAnsiTheme="minorHAnsi"/>
          <w:color w:val="000000" w:themeColor="text1"/>
          <w:sz w:val="22"/>
          <w:szCs w:val="22"/>
        </w:rPr>
        <w:t xml:space="preserve"> to</w:t>
      </w:r>
      <w:r w:rsidR="006A788D" w:rsidRPr="000100BB">
        <w:rPr>
          <w:rFonts w:asciiTheme="minorHAnsi" w:hAnsiTheme="minorHAnsi"/>
          <w:color w:val="000000" w:themeColor="text1"/>
          <w:sz w:val="22"/>
          <w:szCs w:val="22"/>
        </w:rPr>
        <w:t xml:space="preserve"> Reset Treatment S</w:t>
      </w:r>
      <w:r w:rsidR="005C6D8E" w:rsidRPr="000100BB">
        <w:rPr>
          <w:rFonts w:asciiTheme="minorHAnsi" w:hAnsiTheme="minorHAnsi"/>
          <w:color w:val="000000" w:themeColor="text1"/>
          <w:sz w:val="22"/>
          <w:szCs w:val="22"/>
        </w:rPr>
        <w:t>ervice</w:t>
      </w:r>
    </w:p>
    <w:p w14:paraId="5737D052" w14:textId="77777777" w:rsidR="00D32CC4" w:rsidRPr="000100BB" w:rsidRDefault="00D32CC4"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Name </w:t>
      </w:r>
      <w:r w:rsidR="00F95F45" w:rsidRPr="000100BB">
        <w:rPr>
          <w:rFonts w:asciiTheme="minorHAnsi" w:hAnsiTheme="minorHAnsi"/>
          <w:color w:val="000000" w:themeColor="text1"/>
          <w:sz w:val="22"/>
          <w:szCs w:val="22"/>
        </w:rPr>
        <w:t>of Pharmacist delivering the service</w:t>
      </w:r>
    </w:p>
    <w:p w14:paraId="265D4A35" w14:textId="77777777" w:rsidR="00F95F45" w:rsidRPr="000100BB" w:rsidRDefault="00F95F45" w:rsidP="00CE3280">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Any additional notes</w:t>
      </w:r>
    </w:p>
    <w:p w14:paraId="2E719236" w14:textId="77777777" w:rsidR="00044BF1" w:rsidRPr="000100BB" w:rsidRDefault="00CE3280" w:rsidP="00CE328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Each exchange must be recorded </w:t>
      </w:r>
      <w:r w:rsidR="00044BF1" w:rsidRPr="000100BB">
        <w:rPr>
          <w:rFonts w:asciiTheme="minorHAnsi" w:hAnsiTheme="minorHAnsi"/>
          <w:color w:val="000000" w:themeColor="text1"/>
          <w:sz w:val="22"/>
          <w:szCs w:val="22"/>
        </w:rPr>
        <w:t>at the time</w:t>
      </w:r>
      <w:r w:rsidRPr="000100BB">
        <w:rPr>
          <w:rFonts w:asciiTheme="minorHAnsi" w:hAnsiTheme="minorHAnsi"/>
          <w:color w:val="000000" w:themeColor="text1"/>
          <w:sz w:val="22"/>
          <w:szCs w:val="22"/>
        </w:rPr>
        <w:t xml:space="preserve"> of the exchange and submitted by the date specified in ord</w:t>
      </w:r>
      <w:r w:rsidR="00CB0D47" w:rsidRPr="000100BB">
        <w:rPr>
          <w:rFonts w:asciiTheme="minorHAnsi" w:hAnsiTheme="minorHAnsi"/>
          <w:color w:val="000000" w:themeColor="text1"/>
          <w:sz w:val="22"/>
          <w:szCs w:val="22"/>
        </w:rPr>
        <w:t>er to receive payment for that month</w:t>
      </w:r>
      <w:r w:rsidRPr="000100BB">
        <w:rPr>
          <w:rFonts w:asciiTheme="minorHAnsi" w:hAnsiTheme="minorHAnsi"/>
          <w:color w:val="000000" w:themeColor="text1"/>
          <w:sz w:val="22"/>
          <w:szCs w:val="22"/>
        </w:rPr>
        <w:t xml:space="preserve">. </w:t>
      </w:r>
    </w:p>
    <w:p w14:paraId="7398F363" w14:textId="77777777" w:rsidR="00CE3280" w:rsidRPr="000100BB" w:rsidRDefault="00044BF1" w:rsidP="00CE328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Pharm</w:t>
      </w:r>
      <w:r w:rsidR="00CE3280" w:rsidRPr="000100BB">
        <w:rPr>
          <w:rFonts w:asciiTheme="minorHAnsi" w:hAnsiTheme="minorHAnsi"/>
          <w:color w:val="000000" w:themeColor="text1"/>
          <w:sz w:val="22"/>
          <w:szCs w:val="22"/>
        </w:rPr>
        <w:t>Outcomes forms must be comp</w:t>
      </w:r>
      <w:r w:rsidR="00C15358" w:rsidRPr="000100BB">
        <w:rPr>
          <w:rFonts w:asciiTheme="minorHAnsi" w:hAnsiTheme="minorHAnsi"/>
          <w:color w:val="000000" w:themeColor="text1"/>
          <w:sz w:val="22"/>
          <w:szCs w:val="22"/>
        </w:rPr>
        <w:t>leted in full; i</w:t>
      </w:r>
      <w:r w:rsidR="00CE3280" w:rsidRPr="000100BB">
        <w:rPr>
          <w:rFonts w:asciiTheme="minorHAnsi" w:hAnsiTheme="minorHAnsi"/>
          <w:color w:val="000000" w:themeColor="text1"/>
          <w:sz w:val="22"/>
          <w:szCs w:val="22"/>
        </w:rPr>
        <w:t xml:space="preserve">ncomplete information may lead to the exchange not being remunerated. </w:t>
      </w:r>
    </w:p>
    <w:p w14:paraId="081EAE53" w14:textId="77777777" w:rsidR="00CE3280" w:rsidRPr="000100BB" w:rsidRDefault="00CE3280" w:rsidP="00CE328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 Late data submissions may result in loss of payment for exchanges not recorded or submitted correctly.</w:t>
      </w:r>
    </w:p>
    <w:p w14:paraId="173C857D" w14:textId="77777777" w:rsidR="00CE3280" w:rsidRPr="000100BB" w:rsidRDefault="00CE3280" w:rsidP="00CE328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Activity reports </w:t>
      </w:r>
      <w:r w:rsidR="00C15358" w:rsidRPr="000100BB">
        <w:rPr>
          <w:rFonts w:asciiTheme="minorHAnsi" w:hAnsiTheme="minorHAnsi"/>
          <w:color w:val="000000" w:themeColor="text1"/>
          <w:sz w:val="22"/>
          <w:szCs w:val="22"/>
        </w:rPr>
        <w:t>will be generated through Pharm</w:t>
      </w:r>
      <w:r w:rsidRPr="000100BB">
        <w:rPr>
          <w:rFonts w:asciiTheme="minorHAnsi" w:hAnsiTheme="minorHAnsi"/>
          <w:color w:val="000000" w:themeColor="text1"/>
          <w:sz w:val="22"/>
          <w:szCs w:val="22"/>
        </w:rPr>
        <w:t>Outcomes on a monthly basis.</w:t>
      </w:r>
      <w:r w:rsidR="003144DD" w:rsidRPr="000100BB">
        <w:rPr>
          <w:rFonts w:asciiTheme="minorHAnsi" w:hAnsiTheme="minorHAnsi"/>
          <w:color w:val="000000" w:themeColor="text1"/>
          <w:sz w:val="22"/>
          <w:szCs w:val="22"/>
        </w:rPr>
        <w:t xml:space="preserve"> </w:t>
      </w:r>
    </w:p>
    <w:p w14:paraId="4C993C37" w14:textId="77777777" w:rsidR="00FC62ED" w:rsidRPr="000100BB" w:rsidRDefault="00FC62ED" w:rsidP="00CE328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For clients accepting </w:t>
      </w:r>
      <w:r w:rsidR="009165A2" w:rsidRPr="000100BB">
        <w:rPr>
          <w:rFonts w:asciiTheme="minorHAnsi" w:hAnsiTheme="minorHAnsi"/>
          <w:color w:val="000000" w:themeColor="text1"/>
          <w:sz w:val="22"/>
          <w:szCs w:val="22"/>
        </w:rPr>
        <w:t>BBV</w:t>
      </w:r>
      <w:r w:rsidR="00BF4ABE" w:rsidRPr="000100BB">
        <w:rPr>
          <w:rFonts w:asciiTheme="minorHAnsi" w:hAnsiTheme="minorHAnsi"/>
          <w:color w:val="000000" w:themeColor="text1"/>
          <w:sz w:val="22"/>
          <w:szCs w:val="22"/>
        </w:rPr>
        <w:t xml:space="preserve"> and STI</w:t>
      </w:r>
      <w:r w:rsidR="009165A2" w:rsidRPr="000100BB">
        <w:rPr>
          <w:rFonts w:asciiTheme="minorHAnsi" w:hAnsiTheme="minorHAnsi"/>
          <w:color w:val="000000" w:themeColor="text1"/>
          <w:sz w:val="22"/>
          <w:szCs w:val="22"/>
        </w:rPr>
        <w:t xml:space="preserve"> test offer, the Pharmacy </w:t>
      </w:r>
      <w:r w:rsidR="00D334CC" w:rsidRPr="000100BB">
        <w:rPr>
          <w:rFonts w:asciiTheme="minorHAnsi" w:hAnsiTheme="minorHAnsi"/>
          <w:color w:val="000000" w:themeColor="text1"/>
          <w:sz w:val="22"/>
          <w:szCs w:val="22"/>
        </w:rPr>
        <w:t xml:space="preserve">must </w:t>
      </w:r>
      <w:r w:rsidR="009165A2" w:rsidRPr="000100BB">
        <w:rPr>
          <w:rFonts w:asciiTheme="minorHAnsi" w:hAnsiTheme="minorHAnsi"/>
          <w:color w:val="000000" w:themeColor="text1"/>
          <w:sz w:val="22"/>
          <w:szCs w:val="22"/>
        </w:rPr>
        <w:t>record</w:t>
      </w:r>
      <w:r w:rsidR="00874554" w:rsidRPr="000100BB">
        <w:rPr>
          <w:rFonts w:asciiTheme="minorHAnsi" w:hAnsiTheme="minorHAnsi"/>
          <w:color w:val="000000" w:themeColor="text1"/>
          <w:sz w:val="22"/>
          <w:szCs w:val="22"/>
        </w:rPr>
        <w:t xml:space="preserve"> locally (in addition to the above)</w:t>
      </w:r>
      <w:r w:rsidR="009165A2" w:rsidRPr="000100BB">
        <w:rPr>
          <w:rFonts w:asciiTheme="minorHAnsi" w:hAnsiTheme="minorHAnsi"/>
          <w:color w:val="000000" w:themeColor="text1"/>
          <w:sz w:val="22"/>
          <w:szCs w:val="22"/>
        </w:rPr>
        <w:t>:</w:t>
      </w:r>
    </w:p>
    <w:p w14:paraId="480B151D" w14:textId="77777777" w:rsidR="00080F43" w:rsidRPr="000100BB" w:rsidRDefault="00080F43" w:rsidP="00080F43">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Consent to share information with the Sexual Health Service</w:t>
      </w:r>
    </w:p>
    <w:p w14:paraId="2B55F497" w14:textId="77777777" w:rsidR="009165A2" w:rsidRPr="000100BB" w:rsidRDefault="00A955E5" w:rsidP="00A955E5">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Unique identification number of each client</w:t>
      </w:r>
    </w:p>
    <w:p w14:paraId="6733524C" w14:textId="77777777" w:rsidR="00080F43" w:rsidRPr="000100BB" w:rsidRDefault="00080F43" w:rsidP="00A955E5">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Client initials and date of birth</w:t>
      </w:r>
    </w:p>
    <w:p w14:paraId="2A637AE5" w14:textId="77777777" w:rsidR="00124CFC" w:rsidRPr="000100BB" w:rsidRDefault="00124CFC" w:rsidP="009165A2">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Test taken</w:t>
      </w:r>
    </w:p>
    <w:p w14:paraId="7D48AF21" w14:textId="77777777" w:rsidR="009165A2" w:rsidRPr="000100BB" w:rsidRDefault="009165A2" w:rsidP="009165A2">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Date test carried out</w:t>
      </w:r>
    </w:p>
    <w:p w14:paraId="7AFD7B50" w14:textId="77777777" w:rsidR="00080F43" w:rsidRPr="000100BB" w:rsidRDefault="00080F43" w:rsidP="009165A2">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Client contact details</w:t>
      </w:r>
    </w:p>
    <w:p w14:paraId="55E4FBEC" w14:textId="77777777" w:rsidR="009165A2" w:rsidRPr="000100BB" w:rsidRDefault="00080F43" w:rsidP="009165A2">
      <w:pPr>
        <w:pStyle w:val="NormalWeb"/>
        <w:numPr>
          <w:ilvl w:val="2"/>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above details are to be recorded internally but are</w:t>
      </w:r>
      <w:r w:rsidR="009165A2" w:rsidRPr="000100BB">
        <w:rPr>
          <w:rFonts w:asciiTheme="minorHAnsi" w:hAnsiTheme="minorHAnsi"/>
          <w:color w:val="000000" w:themeColor="text1"/>
          <w:sz w:val="22"/>
          <w:szCs w:val="22"/>
        </w:rPr>
        <w:t xml:space="preserve"> not required for submission</w:t>
      </w:r>
      <w:r w:rsidRPr="000100BB">
        <w:rPr>
          <w:rFonts w:asciiTheme="minorHAnsi" w:hAnsiTheme="minorHAnsi"/>
          <w:color w:val="000000" w:themeColor="text1"/>
          <w:sz w:val="22"/>
          <w:szCs w:val="22"/>
        </w:rPr>
        <w:t xml:space="preserve"> through PharmOutcomes</w:t>
      </w:r>
      <w:r w:rsidR="009165A2" w:rsidRPr="000100BB">
        <w:rPr>
          <w:rFonts w:asciiTheme="minorHAnsi" w:hAnsiTheme="minorHAnsi"/>
          <w:color w:val="000000" w:themeColor="text1"/>
          <w:sz w:val="22"/>
          <w:szCs w:val="22"/>
        </w:rPr>
        <w:t>.</w:t>
      </w:r>
    </w:p>
    <w:p w14:paraId="52A97D0D" w14:textId="77777777" w:rsidR="00CE3280" w:rsidRPr="000100BB" w:rsidRDefault="00CE3280" w:rsidP="00CE328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will provide additional data to LBTH DAAT for the purpose of audit, research or data analysis where required to do so.</w:t>
      </w:r>
    </w:p>
    <w:p w14:paraId="63A6BD4D" w14:textId="77777777" w:rsidR="00B7463F" w:rsidRPr="000100BB" w:rsidRDefault="00B7463F" w:rsidP="00CE328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will record and report number of and d</w:t>
      </w:r>
      <w:r w:rsidR="007B4E74" w:rsidRPr="000100BB">
        <w:rPr>
          <w:rFonts w:asciiTheme="minorHAnsi" w:hAnsiTheme="minorHAnsi"/>
          <w:color w:val="000000" w:themeColor="text1"/>
          <w:sz w:val="22"/>
          <w:szCs w:val="22"/>
        </w:rPr>
        <w:t xml:space="preserve">etails of referrals made to Reset </w:t>
      </w:r>
      <w:r w:rsidRPr="000100BB">
        <w:rPr>
          <w:rFonts w:asciiTheme="minorHAnsi" w:hAnsiTheme="minorHAnsi"/>
          <w:color w:val="000000" w:themeColor="text1"/>
          <w:sz w:val="22"/>
          <w:szCs w:val="22"/>
        </w:rPr>
        <w:t>treatment service and submit to the DAAT on a monthly basis.</w:t>
      </w:r>
    </w:p>
    <w:p w14:paraId="74672198" w14:textId="77777777" w:rsidR="00C15358" w:rsidRPr="000100BB" w:rsidRDefault="00CE3280" w:rsidP="5A84454D">
      <w:pPr>
        <w:pStyle w:val="NormalWeb"/>
        <w:numPr>
          <w:ilvl w:val="1"/>
          <w:numId w:val="5"/>
        </w:numPr>
        <w:shd w:val="clear" w:color="auto" w:fill="F6F6F6"/>
        <w:spacing w:line="360" w:lineRule="atLeast"/>
        <w:rPr>
          <w:rFonts w:asciiTheme="minorHAnsi" w:hAnsiTheme="minorHAnsi"/>
          <w:color w:val="000000" w:themeColor="text1"/>
          <w:sz w:val="22"/>
          <w:szCs w:val="22"/>
        </w:rPr>
      </w:pPr>
      <w:r w:rsidRPr="5A84454D">
        <w:rPr>
          <w:rFonts w:asciiTheme="minorHAnsi" w:hAnsiTheme="minorHAnsi"/>
          <w:color w:val="000000" w:themeColor="text1"/>
          <w:sz w:val="22"/>
          <w:szCs w:val="22"/>
        </w:rPr>
        <w:t>Any incidents</w:t>
      </w:r>
      <w:r w:rsidR="00C15358" w:rsidRPr="5A84454D">
        <w:rPr>
          <w:rFonts w:asciiTheme="minorHAnsi" w:hAnsiTheme="minorHAnsi"/>
          <w:color w:val="000000" w:themeColor="text1"/>
          <w:sz w:val="22"/>
          <w:szCs w:val="22"/>
        </w:rPr>
        <w:t>, accidents</w:t>
      </w:r>
      <w:r w:rsidRPr="5A84454D">
        <w:rPr>
          <w:rFonts w:asciiTheme="minorHAnsi" w:hAnsiTheme="minorHAnsi"/>
          <w:color w:val="000000" w:themeColor="text1"/>
          <w:sz w:val="22"/>
          <w:szCs w:val="22"/>
        </w:rPr>
        <w:t xml:space="preserve"> or near misses</w:t>
      </w:r>
      <w:r w:rsidR="00C15358" w:rsidRPr="5A84454D">
        <w:rPr>
          <w:rFonts w:asciiTheme="minorHAnsi" w:hAnsiTheme="minorHAnsi"/>
          <w:color w:val="000000" w:themeColor="text1"/>
          <w:sz w:val="22"/>
          <w:szCs w:val="22"/>
        </w:rPr>
        <w:t xml:space="preserve"> </w:t>
      </w:r>
      <w:r w:rsidRPr="5A84454D">
        <w:rPr>
          <w:rFonts w:asciiTheme="minorHAnsi" w:hAnsiTheme="minorHAnsi"/>
          <w:color w:val="000000" w:themeColor="text1"/>
          <w:sz w:val="22"/>
          <w:szCs w:val="22"/>
        </w:rPr>
        <w:t>must be recorded by the Pharmacy and reported to LBTH DAAT within 7</w:t>
      </w:r>
      <w:r w:rsidR="001E6B5F" w:rsidRPr="5A84454D">
        <w:rPr>
          <w:rFonts w:asciiTheme="minorHAnsi" w:hAnsiTheme="minorHAnsi"/>
          <w:color w:val="000000" w:themeColor="text1"/>
          <w:sz w:val="22"/>
          <w:szCs w:val="22"/>
        </w:rPr>
        <w:t xml:space="preserve"> calendar</w:t>
      </w:r>
      <w:r w:rsidRPr="5A84454D">
        <w:rPr>
          <w:rFonts w:asciiTheme="minorHAnsi" w:hAnsiTheme="minorHAnsi"/>
          <w:color w:val="000000" w:themeColor="text1"/>
          <w:sz w:val="22"/>
          <w:szCs w:val="22"/>
        </w:rPr>
        <w:t xml:space="preserve"> days of the incident taking place.</w:t>
      </w:r>
    </w:p>
    <w:p w14:paraId="7792EEA9" w14:textId="77777777" w:rsidR="00860CFE" w:rsidRPr="000100BB" w:rsidRDefault="00860CFE" w:rsidP="00860CFE">
      <w:pPr>
        <w:pStyle w:val="NormalWeb"/>
        <w:numPr>
          <w:ilvl w:val="0"/>
          <w:numId w:val="5"/>
        </w:numPr>
        <w:shd w:val="clear" w:color="auto" w:fill="F6F6F6"/>
        <w:spacing w:line="360" w:lineRule="atLeast"/>
        <w:rPr>
          <w:rFonts w:asciiTheme="minorHAnsi" w:hAnsiTheme="minorHAnsi"/>
          <w:b/>
          <w:color w:val="000000" w:themeColor="text1"/>
          <w:sz w:val="22"/>
          <w:szCs w:val="22"/>
        </w:rPr>
      </w:pPr>
      <w:r w:rsidRPr="000100BB">
        <w:rPr>
          <w:rFonts w:asciiTheme="minorHAnsi" w:hAnsiTheme="minorHAnsi"/>
          <w:b/>
          <w:color w:val="000000" w:themeColor="text1"/>
          <w:sz w:val="22"/>
          <w:szCs w:val="22"/>
        </w:rPr>
        <w:t>Remuneration and Payments</w:t>
      </w:r>
    </w:p>
    <w:p w14:paraId="39A6A16E" w14:textId="77777777" w:rsidR="00860CFE" w:rsidRPr="000100BB" w:rsidRDefault="00C90844" w:rsidP="00860CFE">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Payment will be made on a monthly basis</w:t>
      </w:r>
      <w:r w:rsidR="00426C17" w:rsidRPr="000100BB">
        <w:rPr>
          <w:rFonts w:asciiTheme="minorHAnsi" w:hAnsiTheme="minorHAnsi"/>
          <w:color w:val="000000" w:themeColor="text1"/>
          <w:sz w:val="22"/>
          <w:szCs w:val="22"/>
        </w:rPr>
        <w:t xml:space="preserve"> </w:t>
      </w:r>
      <w:r w:rsidR="00FE187B">
        <w:rPr>
          <w:rFonts w:asciiTheme="minorHAnsi" w:hAnsiTheme="minorHAnsi"/>
          <w:color w:val="000000" w:themeColor="text1"/>
          <w:sz w:val="22"/>
          <w:szCs w:val="22"/>
        </w:rPr>
        <w:t xml:space="preserve">in arrears </w:t>
      </w:r>
      <w:r w:rsidR="00426C17" w:rsidRPr="000100BB">
        <w:rPr>
          <w:rFonts w:asciiTheme="minorHAnsi" w:hAnsiTheme="minorHAnsi"/>
          <w:color w:val="000000" w:themeColor="text1"/>
          <w:sz w:val="22"/>
          <w:szCs w:val="22"/>
        </w:rPr>
        <w:t>subject to PharmOutcomes reports being received</w:t>
      </w:r>
      <w:r w:rsidR="00E249D2" w:rsidRPr="000100BB">
        <w:rPr>
          <w:rFonts w:asciiTheme="minorHAnsi" w:hAnsiTheme="minorHAnsi"/>
          <w:color w:val="000000" w:themeColor="text1"/>
          <w:sz w:val="22"/>
          <w:szCs w:val="22"/>
        </w:rPr>
        <w:t xml:space="preserve">. </w:t>
      </w:r>
    </w:p>
    <w:p w14:paraId="705381FA" w14:textId="77777777" w:rsidR="00B15658" w:rsidRPr="000100BB" w:rsidRDefault="00B15658" w:rsidP="00860CFE">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The Pharmacy will receive a payment of £1.20 for each </w:t>
      </w:r>
      <w:r w:rsidR="005E6156" w:rsidRPr="000100BB">
        <w:rPr>
          <w:rFonts w:asciiTheme="minorHAnsi" w:hAnsiTheme="minorHAnsi"/>
          <w:color w:val="000000" w:themeColor="text1"/>
          <w:sz w:val="22"/>
          <w:szCs w:val="22"/>
        </w:rPr>
        <w:t xml:space="preserve">individual/ unique transaction (dispensed) and </w:t>
      </w:r>
      <w:r w:rsidR="00864771" w:rsidRPr="000100BB">
        <w:rPr>
          <w:rFonts w:asciiTheme="minorHAnsi" w:hAnsiTheme="minorHAnsi"/>
          <w:color w:val="000000" w:themeColor="text1"/>
          <w:sz w:val="22"/>
          <w:szCs w:val="22"/>
        </w:rPr>
        <w:t>£1</w:t>
      </w:r>
      <w:r w:rsidR="005E6156" w:rsidRPr="000100BB">
        <w:rPr>
          <w:rFonts w:asciiTheme="minorHAnsi" w:hAnsiTheme="minorHAnsi"/>
          <w:color w:val="000000" w:themeColor="text1"/>
          <w:sz w:val="22"/>
          <w:szCs w:val="22"/>
        </w:rPr>
        <w:t xml:space="preserve"> for each individual / unique return (</w:t>
      </w:r>
      <w:r w:rsidR="006E2064" w:rsidRPr="000100BB">
        <w:rPr>
          <w:rFonts w:asciiTheme="minorHAnsi" w:hAnsiTheme="minorHAnsi"/>
          <w:color w:val="000000" w:themeColor="text1"/>
          <w:sz w:val="22"/>
          <w:szCs w:val="22"/>
        </w:rPr>
        <w:t xml:space="preserve">paraphernalia or </w:t>
      </w:r>
      <w:r w:rsidR="005E6156" w:rsidRPr="000100BB">
        <w:rPr>
          <w:rFonts w:asciiTheme="minorHAnsi" w:hAnsiTheme="minorHAnsi"/>
          <w:color w:val="000000" w:themeColor="text1"/>
          <w:sz w:val="22"/>
          <w:szCs w:val="22"/>
        </w:rPr>
        <w:t>sharps bins returned)</w:t>
      </w:r>
      <w:r w:rsidRPr="000100BB">
        <w:rPr>
          <w:rFonts w:asciiTheme="minorHAnsi" w:hAnsiTheme="minorHAnsi"/>
          <w:color w:val="000000" w:themeColor="text1"/>
          <w:sz w:val="22"/>
          <w:szCs w:val="22"/>
        </w:rPr>
        <w:t xml:space="preserve">. </w:t>
      </w:r>
    </w:p>
    <w:p w14:paraId="3E2F9D16" w14:textId="77777777" w:rsidR="00B15658" w:rsidRPr="000100BB" w:rsidRDefault="007A449A" w:rsidP="00B1565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A payment by results element </w:t>
      </w:r>
      <w:r w:rsidR="00220317" w:rsidRPr="000100BB">
        <w:rPr>
          <w:rFonts w:asciiTheme="minorHAnsi" w:hAnsiTheme="minorHAnsi"/>
          <w:color w:val="000000" w:themeColor="text1"/>
          <w:sz w:val="22"/>
          <w:szCs w:val="22"/>
        </w:rPr>
        <w:t>is</w:t>
      </w:r>
      <w:r w:rsidRPr="000100BB">
        <w:rPr>
          <w:rFonts w:asciiTheme="minorHAnsi" w:hAnsiTheme="minorHAnsi"/>
          <w:color w:val="000000" w:themeColor="text1"/>
          <w:sz w:val="22"/>
          <w:szCs w:val="22"/>
        </w:rPr>
        <w:t xml:space="preserve"> attached to th</w:t>
      </w:r>
      <w:r w:rsidR="00DD361A" w:rsidRPr="000100BB">
        <w:rPr>
          <w:rFonts w:asciiTheme="minorHAnsi" w:hAnsiTheme="minorHAnsi"/>
          <w:color w:val="000000" w:themeColor="text1"/>
          <w:sz w:val="22"/>
          <w:szCs w:val="22"/>
        </w:rPr>
        <w:t>is contract, the value of which will be paid</w:t>
      </w:r>
      <w:r w:rsidR="00C90844" w:rsidRPr="000100BB">
        <w:rPr>
          <w:rFonts w:asciiTheme="minorHAnsi" w:hAnsiTheme="minorHAnsi"/>
          <w:color w:val="000000" w:themeColor="text1"/>
          <w:sz w:val="22"/>
          <w:szCs w:val="22"/>
        </w:rPr>
        <w:t xml:space="preserve"> </w:t>
      </w:r>
      <w:r w:rsidRPr="000100BB">
        <w:rPr>
          <w:rFonts w:asciiTheme="minorHAnsi" w:hAnsiTheme="minorHAnsi"/>
          <w:color w:val="000000" w:themeColor="text1"/>
          <w:sz w:val="22"/>
          <w:szCs w:val="22"/>
        </w:rPr>
        <w:t>the end of the fina</w:t>
      </w:r>
      <w:r w:rsidR="00C90844" w:rsidRPr="000100BB">
        <w:rPr>
          <w:rFonts w:asciiTheme="minorHAnsi" w:hAnsiTheme="minorHAnsi"/>
          <w:color w:val="000000" w:themeColor="text1"/>
          <w:sz w:val="22"/>
          <w:szCs w:val="22"/>
        </w:rPr>
        <w:t xml:space="preserve">ncial </w:t>
      </w:r>
      <w:r w:rsidR="00DD361A" w:rsidRPr="000100BB">
        <w:rPr>
          <w:rFonts w:asciiTheme="minorHAnsi" w:hAnsiTheme="minorHAnsi"/>
          <w:color w:val="000000" w:themeColor="text1"/>
          <w:sz w:val="22"/>
          <w:szCs w:val="22"/>
        </w:rPr>
        <w:t xml:space="preserve">year </w:t>
      </w:r>
      <w:r w:rsidR="00D334CC" w:rsidRPr="000100BB">
        <w:rPr>
          <w:rFonts w:asciiTheme="minorHAnsi" w:hAnsiTheme="minorHAnsi"/>
          <w:color w:val="000000" w:themeColor="text1"/>
          <w:sz w:val="22"/>
          <w:szCs w:val="22"/>
        </w:rPr>
        <w:t>if</w:t>
      </w:r>
      <w:r w:rsidR="00DD361A" w:rsidRPr="000100BB">
        <w:rPr>
          <w:rFonts w:asciiTheme="minorHAnsi" w:hAnsiTheme="minorHAnsi"/>
          <w:color w:val="000000" w:themeColor="text1"/>
          <w:sz w:val="22"/>
          <w:szCs w:val="22"/>
        </w:rPr>
        <w:t xml:space="preserve"> the Pharmacy successfully</w:t>
      </w:r>
      <w:r w:rsidR="00C90844" w:rsidRPr="000100BB">
        <w:rPr>
          <w:rFonts w:asciiTheme="minorHAnsi" w:hAnsiTheme="minorHAnsi"/>
          <w:color w:val="000000" w:themeColor="text1"/>
          <w:sz w:val="22"/>
          <w:szCs w:val="22"/>
        </w:rPr>
        <w:t xml:space="preserve"> </w:t>
      </w:r>
      <w:r w:rsidRPr="000100BB">
        <w:rPr>
          <w:rFonts w:asciiTheme="minorHAnsi" w:hAnsiTheme="minorHAnsi"/>
          <w:color w:val="000000" w:themeColor="text1"/>
          <w:sz w:val="22"/>
          <w:szCs w:val="22"/>
        </w:rPr>
        <w:t xml:space="preserve">reach their target of </w:t>
      </w:r>
      <w:r w:rsidR="00B15658" w:rsidRPr="000100BB">
        <w:rPr>
          <w:rFonts w:asciiTheme="minorHAnsi" w:hAnsiTheme="minorHAnsi"/>
          <w:color w:val="000000" w:themeColor="text1"/>
          <w:sz w:val="22"/>
          <w:szCs w:val="22"/>
        </w:rPr>
        <w:t>treatment starts.</w:t>
      </w:r>
    </w:p>
    <w:p w14:paraId="2C82E7B4" w14:textId="77777777" w:rsidR="007A449A" w:rsidRPr="000100BB" w:rsidRDefault="00B15658" w:rsidP="00B15658">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Pharmacy will receive</w:t>
      </w:r>
      <w:r w:rsidR="007A449A" w:rsidRPr="000100BB">
        <w:rPr>
          <w:rFonts w:asciiTheme="minorHAnsi" w:hAnsiTheme="minorHAnsi"/>
          <w:color w:val="000000" w:themeColor="text1"/>
          <w:sz w:val="22"/>
          <w:szCs w:val="22"/>
        </w:rPr>
        <w:t xml:space="preserve"> </w:t>
      </w:r>
      <w:r w:rsidR="006E2064" w:rsidRPr="000100BB">
        <w:rPr>
          <w:rFonts w:asciiTheme="minorHAnsi" w:hAnsiTheme="minorHAnsi"/>
          <w:color w:val="000000" w:themeColor="text1"/>
          <w:sz w:val="22"/>
          <w:szCs w:val="22"/>
        </w:rPr>
        <w:t xml:space="preserve">£250 incentive for successfully achieving </w:t>
      </w:r>
      <w:r w:rsidR="007B4E74" w:rsidRPr="000100BB">
        <w:rPr>
          <w:rFonts w:asciiTheme="minorHAnsi" w:hAnsiTheme="minorHAnsi"/>
          <w:color w:val="000000" w:themeColor="text1"/>
          <w:sz w:val="22"/>
          <w:szCs w:val="22"/>
        </w:rPr>
        <w:t xml:space="preserve">a minimum of </w:t>
      </w:r>
      <w:r w:rsidR="006E2064" w:rsidRPr="000100BB">
        <w:rPr>
          <w:rFonts w:asciiTheme="minorHAnsi" w:hAnsiTheme="minorHAnsi"/>
          <w:color w:val="000000" w:themeColor="text1"/>
          <w:sz w:val="22"/>
          <w:szCs w:val="22"/>
        </w:rPr>
        <w:t>10 client treatment starts. This refers to clients being referred to and commencing treatment at Reset Treatment Service.</w:t>
      </w:r>
    </w:p>
    <w:p w14:paraId="4D8301E1" w14:textId="77777777" w:rsidR="00B77680" w:rsidRPr="000100BB" w:rsidRDefault="00B77680" w:rsidP="00B77680">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Each exchange must be recorded </w:t>
      </w:r>
      <w:r w:rsidR="00DC4917" w:rsidRPr="000100BB">
        <w:rPr>
          <w:rFonts w:asciiTheme="minorHAnsi" w:hAnsiTheme="minorHAnsi"/>
          <w:color w:val="000000" w:themeColor="text1"/>
          <w:sz w:val="22"/>
          <w:szCs w:val="22"/>
        </w:rPr>
        <w:t xml:space="preserve">at the time </w:t>
      </w:r>
      <w:r w:rsidRPr="000100BB">
        <w:rPr>
          <w:rFonts w:asciiTheme="minorHAnsi" w:hAnsiTheme="minorHAnsi"/>
          <w:color w:val="000000" w:themeColor="text1"/>
          <w:sz w:val="22"/>
          <w:szCs w:val="22"/>
        </w:rPr>
        <w:t xml:space="preserve">of the exchange and submitted by the date specified in order to </w:t>
      </w:r>
      <w:r w:rsidR="00DD361A" w:rsidRPr="000100BB">
        <w:rPr>
          <w:rFonts w:asciiTheme="minorHAnsi" w:hAnsiTheme="minorHAnsi"/>
          <w:color w:val="000000" w:themeColor="text1"/>
          <w:sz w:val="22"/>
          <w:szCs w:val="22"/>
        </w:rPr>
        <w:t>receive payment for that month</w:t>
      </w:r>
      <w:r w:rsidRPr="000100BB">
        <w:rPr>
          <w:rFonts w:asciiTheme="minorHAnsi" w:hAnsiTheme="minorHAnsi"/>
          <w:color w:val="000000" w:themeColor="text1"/>
          <w:sz w:val="22"/>
          <w:szCs w:val="22"/>
        </w:rPr>
        <w:t xml:space="preserve">. Pharm Outcomes forms must be completed in full. Incomplete information may lead to the exchange not being remunerated. </w:t>
      </w:r>
    </w:p>
    <w:p w14:paraId="4B37A887" w14:textId="77777777" w:rsidR="00860CFE" w:rsidRPr="000100BB" w:rsidRDefault="00860CFE" w:rsidP="00860CFE">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 xml:space="preserve"> Late data submissions may result in loss of payment for exchanges not recorded or submitted correctly.</w:t>
      </w:r>
    </w:p>
    <w:p w14:paraId="2D8FB146" w14:textId="77777777" w:rsidR="00DC4917" w:rsidRPr="000100BB" w:rsidRDefault="001E6B5F" w:rsidP="00860CFE">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The DAAT</w:t>
      </w:r>
      <w:r w:rsidR="00DC4917" w:rsidRPr="000100BB">
        <w:rPr>
          <w:rFonts w:asciiTheme="minorHAnsi" w:hAnsiTheme="minorHAnsi"/>
          <w:color w:val="000000" w:themeColor="text1"/>
          <w:sz w:val="22"/>
          <w:szCs w:val="22"/>
        </w:rPr>
        <w:t xml:space="preserve"> shall notify the Pharmacy as soon as possible if it considers information submitted by the Pharmacy to be incorrect or that the stated services have not been provided in accordance with this agreement; in such circumstances, any payment due may be withheld. </w:t>
      </w:r>
    </w:p>
    <w:p w14:paraId="07E8A2D0" w14:textId="77777777" w:rsidR="00DC4917" w:rsidRPr="000100BB" w:rsidRDefault="00DC4917" w:rsidP="00DC4917">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color w:val="000000" w:themeColor="text1"/>
          <w:sz w:val="22"/>
          <w:szCs w:val="22"/>
        </w:rPr>
        <w:t>Any payment reconciliation must be made within the same financial year. Payment reconciliation may include claims/ invoices not received by the Finance department.</w:t>
      </w:r>
    </w:p>
    <w:p w14:paraId="216131CC" w14:textId="77777777" w:rsidR="00B27745" w:rsidRPr="000100BB" w:rsidRDefault="00B27745" w:rsidP="00A80EC7">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spacing w:val="-1"/>
          <w:sz w:val="22"/>
          <w:szCs w:val="22"/>
        </w:rPr>
        <w:t>The cut</w:t>
      </w:r>
      <w:r w:rsidRPr="000100BB">
        <w:rPr>
          <w:rFonts w:asciiTheme="minorHAnsi" w:hAnsiTheme="minorHAnsi"/>
          <w:spacing w:val="1"/>
          <w:sz w:val="22"/>
          <w:szCs w:val="22"/>
        </w:rPr>
        <w:t xml:space="preserve"> </w:t>
      </w:r>
      <w:r w:rsidRPr="000100BB">
        <w:rPr>
          <w:rFonts w:asciiTheme="minorHAnsi" w:hAnsiTheme="minorHAnsi"/>
          <w:spacing w:val="-2"/>
          <w:sz w:val="22"/>
          <w:szCs w:val="22"/>
        </w:rPr>
        <w:t>off</w:t>
      </w:r>
      <w:r w:rsidRPr="000100BB">
        <w:rPr>
          <w:rFonts w:asciiTheme="minorHAnsi" w:hAnsiTheme="minorHAnsi"/>
          <w:spacing w:val="1"/>
          <w:sz w:val="22"/>
          <w:szCs w:val="22"/>
        </w:rPr>
        <w:t xml:space="preserve"> </w:t>
      </w:r>
      <w:r w:rsidRPr="000100BB">
        <w:rPr>
          <w:rFonts w:asciiTheme="minorHAnsi" w:hAnsiTheme="minorHAnsi"/>
          <w:spacing w:val="-1"/>
          <w:sz w:val="22"/>
          <w:szCs w:val="22"/>
        </w:rPr>
        <w:t>point</w:t>
      </w:r>
      <w:r w:rsidRPr="000100BB">
        <w:rPr>
          <w:rFonts w:asciiTheme="minorHAnsi" w:hAnsiTheme="minorHAnsi"/>
          <w:spacing w:val="1"/>
          <w:sz w:val="22"/>
          <w:szCs w:val="22"/>
        </w:rPr>
        <w:t xml:space="preserve"> </w:t>
      </w:r>
      <w:r w:rsidRPr="000100BB">
        <w:rPr>
          <w:rFonts w:asciiTheme="minorHAnsi" w:hAnsiTheme="minorHAnsi"/>
          <w:sz w:val="22"/>
          <w:szCs w:val="22"/>
        </w:rPr>
        <w:t>for</w:t>
      </w:r>
      <w:r w:rsidRPr="000100BB">
        <w:rPr>
          <w:rFonts w:asciiTheme="minorHAnsi" w:hAnsiTheme="minorHAnsi"/>
          <w:spacing w:val="-2"/>
          <w:sz w:val="22"/>
          <w:szCs w:val="22"/>
        </w:rPr>
        <w:t xml:space="preserve"> </w:t>
      </w:r>
      <w:r w:rsidRPr="000100BB">
        <w:rPr>
          <w:rFonts w:asciiTheme="minorHAnsi" w:hAnsiTheme="minorHAnsi"/>
          <w:spacing w:val="-1"/>
          <w:sz w:val="22"/>
          <w:szCs w:val="22"/>
        </w:rPr>
        <w:t>payment</w:t>
      </w:r>
      <w:r w:rsidRPr="000100BB">
        <w:rPr>
          <w:rFonts w:asciiTheme="minorHAnsi" w:hAnsiTheme="minorHAnsi"/>
          <w:spacing w:val="5"/>
          <w:sz w:val="22"/>
          <w:szCs w:val="22"/>
        </w:rPr>
        <w:t xml:space="preserve"> </w:t>
      </w:r>
      <w:r w:rsidRPr="000100BB">
        <w:rPr>
          <w:rFonts w:asciiTheme="minorHAnsi" w:hAnsiTheme="minorHAnsi"/>
          <w:spacing w:val="-1"/>
          <w:sz w:val="22"/>
          <w:szCs w:val="22"/>
        </w:rPr>
        <w:t>is</w:t>
      </w:r>
      <w:r w:rsidRPr="000100BB">
        <w:rPr>
          <w:rFonts w:asciiTheme="minorHAnsi" w:hAnsiTheme="minorHAnsi"/>
          <w:sz w:val="22"/>
          <w:szCs w:val="22"/>
        </w:rPr>
        <w:t xml:space="preserve"> </w:t>
      </w:r>
      <w:r w:rsidR="00A80EC7" w:rsidRPr="000100BB">
        <w:rPr>
          <w:rFonts w:asciiTheme="minorHAnsi" w:hAnsiTheme="minorHAnsi"/>
          <w:spacing w:val="-1"/>
          <w:sz w:val="22"/>
          <w:szCs w:val="22"/>
        </w:rPr>
        <w:t>5</w:t>
      </w:r>
      <w:r w:rsidR="00A80EC7" w:rsidRPr="000100BB">
        <w:rPr>
          <w:rFonts w:asciiTheme="minorHAnsi" w:hAnsiTheme="minorHAnsi"/>
          <w:spacing w:val="-1"/>
          <w:sz w:val="22"/>
          <w:szCs w:val="22"/>
          <w:vertAlign w:val="superscript"/>
        </w:rPr>
        <w:t>th</w:t>
      </w:r>
      <w:r w:rsidR="00A80EC7" w:rsidRPr="000100BB">
        <w:rPr>
          <w:rFonts w:asciiTheme="minorHAnsi" w:hAnsiTheme="minorHAnsi"/>
          <w:spacing w:val="-1"/>
          <w:sz w:val="22"/>
          <w:szCs w:val="22"/>
        </w:rPr>
        <w:t xml:space="preserve"> </w:t>
      </w:r>
      <w:r w:rsidRPr="000100BB">
        <w:rPr>
          <w:rFonts w:asciiTheme="minorHAnsi" w:hAnsiTheme="minorHAnsi"/>
          <w:sz w:val="22"/>
          <w:szCs w:val="22"/>
        </w:rPr>
        <w:t xml:space="preserve">of </w:t>
      </w:r>
      <w:r w:rsidRPr="000100BB">
        <w:rPr>
          <w:rFonts w:asciiTheme="minorHAnsi" w:hAnsiTheme="minorHAnsi"/>
          <w:spacing w:val="-1"/>
          <w:sz w:val="22"/>
          <w:szCs w:val="22"/>
        </w:rPr>
        <w:t>each</w:t>
      </w:r>
      <w:r w:rsidRPr="000100BB">
        <w:rPr>
          <w:rFonts w:asciiTheme="minorHAnsi" w:hAnsiTheme="minorHAnsi"/>
          <w:b/>
          <w:spacing w:val="-3"/>
          <w:sz w:val="22"/>
          <w:szCs w:val="22"/>
        </w:rPr>
        <w:t xml:space="preserve"> </w:t>
      </w:r>
      <w:r w:rsidRPr="000100BB">
        <w:rPr>
          <w:rFonts w:asciiTheme="minorHAnsi" w:hAnsiTheme="minorHAnsi"/>
          <w:spacing w:val="-1"/>
          <w:sz w:val="22"/>
          <w:szCs w:val="22"/>
        </w:rPr>
        <w:t>month</w:t>
      </w:r>
      <w:r w:rsidRPr="000100BB">
        <w:rPr>
          <w:rFonts w:asciiTheme="minorHAnsi" w:hAnsiTheme="minorHAnsi"/>
          <w:sz w:val="22"/>
          <w:szCs w:val="22"/>
        </w:rPr>
        <w:t xml:space="preserve"> </w:t>
      </w:r>
      <w:r w:rsidRPr="000100BB">
        <w:rPr>
          <w:rFonts w:asciiTheme="minorHAnsi" w:hAnsiTheme="minorHAnsi"/>
          <w:spacing w:val="-1"/>
          <w:sz w:val="22"/>
          <w:szCs w:val="22"/>
        </w:rPr>
        <w:t>(which is</w:t>
      </w:r>
      <w:r w:rsidRPr="000100BB">
        <w:rPr>
          <w:rFonts w:asciiTheme="minorHAnsi" w:hAnsiTheme="minorHAnsi"/>
          <w:sz w:val="22"/>
          <w:szCs w:val="22"/>
        </w:rPr>
        <w:t xml:space="preserve"> </w:t>
      </w:r>
      <w:r w:rsidRPr="000100BB">
        <w:rPr>
          <w:rFonts w:asciiTheme="minorHAnsi" w:hAnsiTheme="minorHAnsi"/>
          <w:spacing w:val="-1"/>
          <w:sz w:val="22"/>
          <w:szCs w:val="22"/>
        </w:rPr>
        <w:t>the PharmOutcomes</w:t>
      </w:r>
      <w:r w:rsidRPr="000100BB">
        <w:rPr>
          <w:rFonts w:asciiTheme="minorHAnsi" w:hAnsiTheme="minorHAnsi"/>
          <w:spacing w:val="1"/>
          <w:sz w:val="22"/>
          <w:szCs w:val="22"/>
        </w:rPr>
        <w:t xml:space="preserve"> </w:t>
      </w:r>
      <w:r w:rsidRPr="000100BB">
        <w:rPr>
          <w:rFonts w:asciiTheme="minorHAnsi" w:hAnsiTheme="minorHAnsi"/>
          <w:spacing w:val="-2"/>
          <w:sz w:val="22"/>
          <w:szCs w:val="22"/>
        </w:rPr>
        <w:t>system</w:t>
      </w:r>
      <w:r w:rsidRPr="000100BB">
        <w:rPr>
          <w:rFonts w:asciiTheme="minorHAnsi" w:hAnsiTheme="minorHAnsi"/>
          <w:spacing w:val="85"/>
          <w:sz w:val="22"/>
          <w:szCs w:val="22"/>
        </w:rPr>
        <w:t xml:space="preserve"> </w:t>
      </w:r>
      <w:r w:rsidRPr="000100BB">
        <w:rPr>
          <w:rFonts w:asciiTheme="minorHAnsi" w:hAnsiTheme="minorHAnsi"/>
          <w:spacing w:val="-1"/>
          <w:sz w:val="22"/>
          <w:szCs w:val="22"/>
        </w:rPr>
        <w:t>payment</w:t>
      </w:r>
      <w:r w:rsidRPr="000100BB">
        <w:rPr>
          <w:rFonts w:asciiTheme="minorHAnsi" w:hAnsiTheme="minorHAnsi"/>
          <w:spacing w:val="1"/>
          <w:sz w:val="22"/>
          <w:szCs w:val="22"/>
        </w:rPr>
        <w:t xml:space="preserve"> </w:t>
      </w:r>
      <w:r w:rsidRPr="000100BB">
        <w:rPr>
          <w:rFonts w:asciiTheme="minorHAnsi" w:hAnsiTheme="minorHAnsi"/>
          <w:spacing w:val="-1"/>
          <w:sz w:val="22"/>
          <w:szCs w:val="22"/>
        </w:rPr>
        <w:t>run).</w:t>
      </w:r>
      <w:r w:rsidRPr="000100BB">
        <w:rPr>
          <w:rFonts w:asciiTheme="minorHAnsi" w:hAnsiTheme="minorHAnsi"/>
          <w:spacing w:val="3"/>
          <w:sz w:val="22"/>
          <w:szCs w:val="22"/>
        </w:rPr>
        <w:t xml:space="preserve"> </w:t>
      </w:r>
      <w:r w:rsidRPr="000100BB">
        <w:rPr>
          <w:rFonts w:asciiTheme="minorHAnsi" w:hAnsiTheme="minorHAnsi"/>
          <w:i/>
          <w:spacing w:val="-1"/>
          <w:sz w:val="22"/>
          <w:szCs w:val="22"/>
        </w:rPr>
        <w:t>Pharmacists</w:t>
      </w:r>
      <w:r w:rsidRPr="000100BB">
        <w:rPr>
          <w:rFonts w:asciiTheme="minorHAnsi" w:hAnsiTheme="minorHAnsi"/>
          <w:i/>
          <w:sz w:val="22"/>
          <w:szCs w:val="22"/>
        </w:rPr>
        <w:t xml:space="preserve"> </w:t>
      </w:r>
      <w:r w:rsidRPr="000100BB">
        <w:rPr>
          <w:rFonts w:asciiTheme="minorHAnsi" w:hAnsiTheme="minorHAnsi"/>
          <w:i/>
          <w:spacing w:val="-1"/>
          <w:sz w:val="22"/>
          <w:szCs w:val="22"/>
        </w:rPr>
        <w:t xml:space="preserve">are advised </w:t>
      </w:r>
      <w:r w:rsidRPr="000100BB">
        <w:rPr>
          <w:rFonts w:asciiTheme="minorHAnsi" w:hAnsiTheme="minorHAnsi"/>
          <w:i/>
          <w:sz w:val="22"/>
          <w:szCs w:val="22"/>
        </w:rPr>
        <w:t>to</w:t>
      </w:r>
      <w:r w:rsidRPr="000100BB">
        <w:rPr>
          <w:rFonts w:asciiTheme="minorHAnsi" w:hAnsiTheme="minorHAnsi"/>
          <w:i/>
          <w:spacing w:val="-1"/>
          <w:sz w:val="22"/>
          <w:szCs w:val="22"/>
        </w:rPr>
        <w:t xml:space="preserve"> ensure they</w:t>
      </w:r>
      <w:r w:rsidRPr="000100BB">
        <w:rPr>
          <w:rFonts w:asciiTheme="minorHAnsi" w:hAnsiTheme="minorHAnsi"/>
          <w:i/>
          <w:sz w:val="22"/>
          <w:szCs w:val="22"/>
        </w:rPr>
        <w:t xml:space="preserve"> </w:t>
      </w:r>
      <w:r w:rsidRPr="000100BB">
        <w:rPr>
          <w:rFonts w:asciiTheme="minorHAnsi" w:hAnsiTheme="minorHAnsi"/>
          <w:i/>
          <w:spacing w:val="-1"/>
          <w:sz w:val="22"/>
          <w:szCs w:val="22"/>
        </w:rPr>
        <w:t>enter</w:t>
      </w:r>
      <w:r w:rsidRPr="000100BB">
        <w:rPr>
          <w:rFonts w:asciiTheme="minorHAnsi" w:hAnsiTheme="minorHAnsi"/>
          <w:i/>
          <w:sz w:val="22"/>
          <w:szCs w:val="22"/>
        </w:rPr>
        <w:t xml:space="preserve"> </w:t>
      </w:r>
      <w:r w:rsidRPr="000100BB">
        <w:rPr>
          <w:rFonts w:asciiTheme="minorHAnsi" w:hAnsiTheme="minorHAnsi"/>
          <w:i/>
          <w:spacing w:val="-1"/>
          <w:sz w:val="22"/>
          <w:szCs w:val="22"/>
        </w:rPr>
        <w:t>all their</w:t>
      </w:r>
      <w:r w:rsidRPr="000100BB">
        <w:rPr>
          <w:rFonts w:asciiTheme="minorHAnsi" w:hAnsiTheme="minorHAnsi"/>
          <w:i/>
          <w:sz w:val="22"/>
          <w:szCs w:val="22"/>
        </w:rPr>
        <w:t xml:space="preserve"> information</w:t>
      </w:r>
      <w:r w:rsidRPr="000100BB">
        <w:rPr>
          <w:rFonts w:asciiTheme="minorHAnsi" w:hAnsiTheme="minorHAnsi"/>
          <w:i/>
          <w:spacing w:val="-1"/>
          <w:sz w:val="22"/>
          <w:szCs w:val="22"/>
        </w:rPr>
        <w:t xml:space="preserve"> on </w:t>
      </w:r>
      <w:r w:rsidRPr="000100BB">
        <w:rPr>
          <w:rFonts w:asciiTheme="minorHAnsi" w:hAnsiTheme="minorHAnsi"/>
          <w:i/>
          <w:sz w:val="22"/>
          <w:szCs w:val="22"/>
        </w:rPr>
        <w:t>to</w:t>
      </w:r>
      <w:r w:rsidRPr="000100BB">
        <w:rPr>
          <w:rFonts w:asciiTheme="minorHAnsi" w:hAnsiTheme="minorHAnsi"/>
          <w:i/>
          <w:spacing w:val="-1"/>
          <w:sz w:val="22"/>
          <w:szCs w:val="22"/>
        </w:rPr>
        <w:t xml:space="preserve"> the</w:t>
      </w:r>
      <w:r w:rsidRPr="000100BB">
        <w:rPr>
          <w:rFonts w:asciiTheme="minorHAnsi" w:hAnsiTheme="minorHAnsi"/>
          <w:i/>
          <w:spacing w:val="67"/>
          <w:sz w:val="22"/>
          <w:szCs w:val="22"/>
        </w:rPr>
        <w:t xml:space="preserve"> </w:t>
      </w:r>
      <w:r w:rsidRPr="000100BB">
        <w:rPr>
          <w:rFonts w:asciiTheme="minorHAnsi" w:hAnsiTheme="minorHAnsi"/>
          <w:i/>
          <w:spacing w:val="-1"/>
          <w:sz w:val="22"/>
          <w:szCs w:val="22"/>
        </w:rPr>
        <w:t>system</w:t>
      </w:r>
      <w:r w:rsidRPr="000100BB">
        <w:rPr>
          <w:rFonts w:asciiTheme="minorHAnsi" w:hAnsiTheme="minorHAnsi"/>
          <w:i/>
          <w:spacing w:val="-2"/>
          <w:sz w:val="22"/>
          <w:szCs w:val="22"/>
        </w:rPr>
        <w:t xml:space="preserve"> </w:t>
      </w:r>
      <w:r w:rsidRPr="000100BB">
        <w:rPr>
          <w:rFonts w:asciiTheme="minorHAnsi" w:hAnsiTheme="minorHAnsi"/>
          <w:i/>
          <w:spacing w:val="-1"/>
          <w:sz w:val="22"/>
          <w:szCs w:val="22"/>
        </w:rPr>
        <w:t>by</w:t>
      </w:r>
      <w:r w:rsidRPr="000100BB">
        <w:rPr>
          <w:rFonts w:asciiTheme="minorHAnsi" w:hAnsiTheme="minorHAnsi"/>
          <w:i/>
          <w:sz w:val="22"/>
          <w:szCs w:val="22"/>
        </w:rPr>
        <w:t xml:space="preserve"> </w:t>
      </w:r>
      <w:r w:rsidRPr="000100BB">
        <w:rPr>
          <w:rFonts w:asciiTheme="minorHAnsi" w:hAnsiTheme="minorHAnsi"/>
          <w:i/>
          <w:spacing w:val="-1"/>
          <w:sz w:val="22"/>
          <w:szCs w:val="22"/>
        </w:rPr>
        <w:t>the</w:t>
      </w:r>
      <w:r w:rsidRPr="000100BB">
        <w:rPr>
          <w:rFonts w:asciiTheme="minorHAnsi" w:hAnsiTheme="minorHAnsi"/>
          <w:i/>
          <w:spacing w:val="1"/>
          <w:sz w:val="22"/>
          <w:szCs w:val="22"/>
        </w:rPr>
        <w:t xml:space="preserve"> </w:t>
      </w:r>
      <w:r w:rsidRPr="000100BB">
        <w:rPr>
          <w:rFonts w:asciiTheme="minorHAnsi" w:hAnsiTheme="minorHAnsi"/>
          <w:b/>
          <w:i/>
          <w:spacing w:val="-1"/>
          <w:sz w:val="22"/>
          <w:szCs w:val="22"/>
        </w:rPr>
        <w:t>4th</w:t>
      </w:r>
      <w:r w:rsidRPr="000100BB">
        <w:rPr>
          <w:rFonts w:asciiTheme="minorHAnsi" w:hAnsiTheme="minorHAnsi"/>
          <w:b/>
          <w:i/>
          <w:spacing w:val="1"/>
          <w:sz w:val="22"/>
          <w:szCs w:val="22"/>
        </w:rPr>
        <w:t xml:space="preserve"> </w:t>
      </w:r>
      <w:r w:rsidRPr="000100BB">
        <w:rPr>
          <w:rFonts w:asciiTheme="minorHAnsi" w:hAnsiTheme="minorHAnsi"/>
          <w:b/>
          <w:i/>
          <w:sz w:val="22"/>
          <w:szCs w:val="22"/>
        </w:rPr>
        <w:t>of</w:t>
      </w:r>
      <w:r w:rsidRPr="000100BB">
        <w:rPr>
          <w:rFonts w:asciiTheme="minorHAnsi" w:hAnsiTheme="minorHAnsi"/>
          <w:b/>
          <w:i/>
          <w:spacing w:val="-2"/>
          <w:sz w:val="22"/>
          <w:szCs w:val="22"/>
        </w:rPr>
        <w:t xml:space="preserve"> </w:t>
      </w:r>
      <w:r w:rsidRPr="000100BB">
        <w:rPr>
          <w:rFonts w:asciiTheme="minorHAnsi" w:hAnsiTheme="minorHAnsi"/>
          <w:b/>
          <w:i/>
          <w:spacing w:val="-1"/>
          <w:sz w:val="22"/>
          <w:szCs w:val="22"/>
        </w:rPr>
        <w:t>each</w:t>
      </w:r>
      <w:r w:rsidRPr="000100BB">
        <w:rPr>
          <w:rFonts w:asciiTheme="minorHAnsi" w:hAnsiTheme="minorHAnsi"/>
          <w:b/>
          <w:i/>
          <w:spacing w:val="1"/>
          <w:sz w:val="22"/>
          <w:szCs w:val="22"/>
        </w:rPr>
        <w:t xml:space="preserve"> </w:t>
      </w:r>
      <w:r w:rsidRPr="000100BB">
        <w:rPr>
          <w:rFonts w:asciiTheme="minorHAnsi" w:hAnsiTheme="minorHAnsi"/>
          <w:b/>
          <w:i/>
          <w:spacing w:val="-1"/>
          <w:sz w:val="22"/>
          <w:szCs w:val="22"/>
        </w:rPr>
        <w:t>month</w:t>
      </w:r>
      <w:r w:rsidRPr="000100BB">
        <w:rPr>
          <w:rFonts w:asciiTheme="minorHAnsi" w:hAnsiTheme="minorHAnsi"/>
          <w:b/>
          <w:i/>
          <w:spacing w:val="4"/>
          <w:sz w:val="22"/>
          <w:szCs w:val="22"/>
        </w:rPr>
        <w:t xml:space="preserve"> </w:t>
      </w:r>
      <w:r w:rsidRPr="000100BB">
        <w:rPr>
          <w:rFonts w:asciiTheme="minorHAnsi" w:hAnsiTheme="minorHAnsi"/>
          <w:i/>
          <w:spacing w:val="-1"/>
          <w:sz w:val="22"/>
          <w:szCs w:val="22"/>
        </w:rPr>
        <w:t>as</w:t>
      </w:r>
      <w:r w:rsidRPr="000100BB">
        <w:rPr>
          <w:rFonts w:asciiTheme="minorHAnsi" w:hAnsiTheme="minorHAnsi"/>
          <w:i/>
          <w:sz w:val="22"/>
          <w:szCs w:val="22"/>
        </w:rPr>
        <w:t xml:space="preserve"> </w:t>
      </w:r>
      <w:r w:rsidRPr="000100BB">
        <w:rPr>
          <w:rFonts w:asciiTheme="minorHAnsi" w:hAnsiTheme="minorHAnsi"/>
          <w:i/>
          <w:spacing w:val="-1"/>
          <w:sz w:val="22"/>
          <w:szCs w:val="22"/>
        </w:rPr>
        <w:t>claims</w:t>
      </w:r>
      <w:r w:rsidRPr="000100BB">
        <w:rPr>
          <w:rFonts w:asciiTheme="minorHAnsi" w:hAnsiTheme="minorHAnsi"/>
          <w:i/>
          <w:sz w:val="22"/>
          <w:szCs w:val="22"/>
        </w:rPr>
        <w:t xml:space="preserve"> </w:t>
      </w:r>
      <w:r w:rsidRPr="000100BB">
        <w:rPr>
          <w:rFonts w:asciiTheme="minorHAnsi" w:hAnsiTheme="minorHAnsi"/>
          <w:i/>
          <w:spacing w:val="-1"/>
          <w:sz w:val="22"/>
          <w:szCs w:val="22"/>
        </w:rPr>
        <w:t>will</w:t>
      </w:r>
      <w:r w:rsidRPr="000100BB">
        <w:rPr>
          <w:rFonts w:asciiTheme="minorHAnsi" w:hAnsiTheme="minorHAnsi"/>
          <w:i/>
          <w:spacing w:val="1"/>
          <w:sz w:val="22"/>
          <w:szCs w:val="22"/>
        </w:rPr>
        <w:t xml:space="preserve"> </w:t>
      </w:r>
      <w:r w:rsidRPr="000100BB">
        <w:rPr>
          <w:rFonts w:asciiTheme="minorHAnsi" w:hAnsiTheme="minorHAnsi"/>
          <w:i/>
          <w:spacing w:val="-1"/>
          <w:sz w:val="22"/>
          <w:szCs w:val="22"/>
        </w:rPr>
        <w:t>not</w:t>
      </w:r>
      <w:r w:rsidRPr="000100BB">
        <w:rPr>
          <w:rFonts w:asciiTheme="minorHAnsi" w:hAnsiTheme="minorHAnsi"/>
          <w:i/>
          <w:spacing w:val="1"/>
          <w:sz w:val="22"/>
          <w:szCs w:val="22"/>
        </w:rPr>
        <w:t xml:space="preserve"> </w:t>
      </w:r>
      <w:r w:rsidRPr="000100BB">
        <w:rPr>
          <w:rFonts w:asciiTheme="minorHAnsi" w:hAnsiTheme="minorHAnsi"/>
          <w:i/>
          <w:spacing w:val="-1"/>
          <w:sz w:val="22"/>
          <w:szCs w:val="22"/>
        </w:rPr>
        <w:t xml:space="preserve">be accepted </w:t>
      </w:r>
      <w:r w:rsidRPr="000100BB">
        <w:rPr>
          <w:rFonts w:asciiTheme="minorHAnsi" w:hAnsiTheme="minorHAnsi"/>
          <w:i/>
          <w:sz w:val="22"/>
          <w:szCs w:val="22"/>
        </w:rPr>
        <w:t>2</w:t>
      </w:r>
      <w:r w:rsidRPr="000100BB">
        <w:rPr>
          <w:rFonts w:asciiTheme="minorHAnsi" w:hAnsiTheme="minorHAnsi"/>
          <w:i/>
          <w:spacing w:val="-1"/>
          <w:sz w:val="22"/>
          <w:szCs w:val="22"/>
        </w:rPr>
        <w:t xml:space="preserve"> months</w:t>
      </w:r>
      <w:r w:rsidRPr="000100BB">
        <w:rPr>
          <w:rFonts w:asciiTheme="minorHAnsi" w:hAnsiTheme="minorHAnsi"/>
          <w:i/>
          <w:sz w:val="22"/>
          <w:szCs w:val="22"/>
        </w:rPr>
        <w:t xml:space="preserve"> </w:t>
      </w:r>
      <w:r w:rsidRPr="000100BB">
        <w:rPr>
          <w:rFonts w:asciiTheme="minorHAnsi" w:hAnsiTheme="minorHAnsi"/>
          <w:i/>
          <w:spacing w:val="-1"/>
          <w:sz w:val="22"/>
          <w:szCs w:val="22"/>
        </w:rPr>
        <w:t>after</w:t>
      </w:r>
      <w:r w:rsidRPr="000100BB">
        <w:rPr>
          <w:rFonts w:asciiTheme="minorHAnsi" w:hAnsiTheme="minorHAnsi"/>
          <w:i/>
          <w:sz w:val="22"/>
          <w:szCs w:val="22"/>
        </w:rPr>
        <w:t xml:space="preserve"> </w:t>
      </w:r>
      <w:r w:rsidRPr="000100BB">
        <w:rPr>
          <w:rFonts w:asciiTheme="minorHAnsi" w:hAnsiTheme="minorHAnsi"/>
          <w:i/>
          <w:spacing w:val="-1"/>
          <w:sz w:val="22"/>
          <w:szCs w:val="22"/>
        </w:rPr>
        <w:t>this</w:t>
      </w:r>
      <w:r w:rsidRPr="000100BB">
        <w:rPr>
          <w:rFonts w:asciiTheme="minorHAnsi" w:hAnsiTheme="minorHAnsi"/>
          <w:i/>
          <w:sz w:val="22"/>
          <w:szCs w:val="22"/>
        </w:rPr>
        <w:t xml:space="preserve"> </w:t>
      </w:r>
      <w:r w:rsidRPr="000100BB">
        <w:rPr>
          <w:rFonts w:asciiTheme="minorHAnsi" w:hAnsiTheme="minorHAnsi"/>
          <w:i/>
          <w:spacing w:val="-1"/>
          <w:sz w:val="22"/>
          <w:szCs w:val="22"/>
        </w:rPr>
        <w:t>date.</w:t>
      </w:r>
    </w:p>
    <w:p w14:paraId="48D530BE" w14:textId="77777777" w:rsidR="00B27745" w:rsidRPr="000100BB" w:rsidRDefault="00B27745" w:rsidP="00A80EC7">
      <w:pPr>
        <w:pStyle w:val="NormalWeb"/>
        <w:numPr>
          <w:ilvl w:val="1"/>
          <w:numId w:val="5"/>
        </w:numPr>
        <w:shd w:val="clear" w:color="auto" w:fill="F6F6F6"/>
        <w:spacing w:line="360" w:lineRule="atLeast"/>
        <w:rPr>
          <w:rFonts w:asciiTheme="minorHAnsi" w:hAnsiTheme="minorHAnsi"/>
          <w:color w:val="000000" w:themeColor="text1"/>
          <w:sz w:val="22"/>
          <w:szCs w:val="22"/>
        </w:rPr>
      </w:pPr>
      <w:r w:rsidRPr="000100BB">
        <w:rPr>
          <w:rFonts w:asciiTheme="minorHAnsi" w:hAnsiTheme="minorHAnsi"/>
          <w:spacing w:val="-1"/>
          <w:sz w:val="22"/>
          <w:szCs w:val="22"/>
        </w:rPr>
        <w:t>The</w:t>
      </w:r>
      <w:r w:rsidRPr="000100BB">
        <w:rPr>
          <w:rFonts w:asciiTheme="minorHAnsi" w:hAnsiTheme="minorHAnsi"/>
          <w:sz w:val="22"/>
          <w:szCs w:val="22"/>
        </w:rPr>
        <w:t xml:space="preserve"> </w:t>
      </w:r>
      <w:r w:rsidRPr="000100BB">
        <w:rPr>
          <w:rFonts w:asciiTheme="minorHAnsi" w:hAnsiTheme="minorHAnsi"/>
          <w:spacing w:val="-1"/>
          <w:sz w:val="22"/>
          <w:szCs w:val="22"/>
        </w:rPr>
        <w:t>grace period is</w:t>
      </w:r>
      <w:r w:rsidRPr="000100BB">
        <w:rPr>
          <w:rFonts w:asciiTheme="minorHAnsi" w:hAnsiTheme="minorHAnsi"/>
          <w:sz w:val="22"/>
          <w:szCs w:val="22"/>
        </w:rPr>
        <w:t xml:space="preserve"> 2</w:t>
      </w:r>
      <w:r w:rsidRPr="000100BB">
        <w:rPr>
          <w:rFonts w:asciiTheme="minorHAnsi" w:hAnsiTheme="minorHAnsi"/>
          <w:spacing w:val="-3"/>
          <w:sz w:val="22"/>
          <w:szCs w:val="22"/>
        </w:rPr>
        <w:t xml:space="preserve"> </w:t>
      </w:r>
      <w:r w:rsidRPr="000100BB">
        <w:rPr>
          <w:rFonts w:asciiTheme="minorHAnsi" w:hAnsiTheme="minorHAnsi"/>
          <w:spacing w:val="-1"/>
          <w:sz w:val="22"/>
          <w:szCs w:val="22"/>
        </w:rPr>
        <w:t>months.</w:t>
      </w:r>
      <w:r w:rsidRPr="000100BB">
        <w:rPr>
          <w:rFonts w:asciiTheme="minorHAnsi" w:hAnsiTheme="minorHAnsi"/>
          <w:spacing w:val="-1"/>
          <w:sz w:val="22"/>
          <w:szCs w:val="22"/>
        </w:rPr>
        <w:tab/>
        <w:t>The</w:t>
      </w:r>
      <w:r w:rsidRPr="000100BB">
        <w:rPr>
          <w:rFonts w:asciiTheme="minorHAnsi" w:hAnsiTheme="minorHAnsi"/>
          <w:spacing w:val="-3"/>
          <w:sz w:val="22"/>
          <w:szCs w:val="22"/>
        </w:rPr>
        <w:t xml:space="preserve"> </w:t>
      </w:r>
      <w:r w:rsidRPr="000100BB">
        <w:rPr>
          <w:rFonts w:asciiTheme="minorHAnsi" w:hAnsiTheme="minorHAnsi"/>
          <w:spacing w:val="-1"/>
          <w:sz w:val="22"/>
          <w:szCs w:val="22"/>
        </w:rPr>
        <w:t xml:space="preserve">funding </w:t>
      </w:r>
      <w:r w:rsidRPr="000100BB">
        <w:rPr>
          <w:rFonts w:asciiTheme="minorHAnsi" w:hAnsiTheme="minorHAnsi"/>
          <w:sz w:val="22"/>
          <w:szCs w:val="22"/>
        </w:rPr>
        <w:t xml:space="preserve">runs </w:t>
      </w:r>
      <w:r w:rsidRPr="000100BB">
        <w:rPr>
          <w:rFonts w:asciiTheme="minorHAnsi" w:hAnsiTheme="minorHAnsi"/>
          <w:spacing w:val="-1"/>
          <w:sz w:val="22"/>
          <w:szCs w:val="22"/>
        </w:rPr>
        <w:t xml:space="preserve">on the 5th </w:t>
      </w:r>
      <w:r w:rsidRPr="000100BB">
        <w:rPr>
          <w:rFonts w:asciiTheme="minorHAnsi" w:hAnsiTheme="minorHAnsi"/>
          <w:spacing w:val="-2"/>
          <w:sz w:val="22"/>
          <w:szCs w:val="22"/>
        </w:rPr>
        <w:t>of</w:t>
      </w:r>
      <w:r w:rsidRPr="000100BB">
        <w:rPr>
          <w:rFonts w:asciiTheme="minorHAnsi" w:hAnsiTheme="minorHAnsi"/>
          <w:spacing w:val="3"/>
          <w:sz w:val="22"/>
          <w:szCs w:val="22"/>
        </w:rPr>
        <w:t xml:space="preserve"> </w:t>
      </w:r>
      <w:r w:rsidRPr="000100BB">
        <w:rPr>
          <w:rFonts w:asciiTheme="minorHAnsi" w:hAnsiTheme="minorHAnsi"/>
          <w:spacing w:val="-1"/>
          <w:sz w:val="22"/>
          <w:szCs w:val="22"/>
        </w:rPr>
        <w:t>every</w:t>
      </w:r>
      <w:r w:rsidRPr="000100BB">
        <w:rPr>
          <w:rFonts w:asciiTheme="minorHAnsi" w:hAnsiTheme="minorHAnsi"/>
          <w:spacing w:val="-2"/>
          <w:sz w:val="22"/>
          <w:szCs w:val="22"/>
        </w:rPr>
        <w:t xml:space="preserve"> </w:t>
      </w:r>
      <w:r w:rsidRPr="000100BB">
        <w:rPr>
          <w:rFonts w:asciiTheme="minorHAnsi" w:hAnsiTheme="minorHAnsi"/>
          <w:sz w:val="22"/>
          <w:szCs w:val="22"/>
        </w:rPr>
        <w:t>month</w:t>
      </w:r>
      <w:r w:rsidRPr="000100BB">
        <w:rPr>
          <w:rFonts w:asciiTheme="minorHAnsi" w:hAnsiTheme="minorHAnsi"/>
          <w:spacing w:val="-1"/>
          <w:sz w:val="22"/>
          <w:szCs w:val="22"/>
        </w:rPr>
        <w:t xml:space="preserve"> and</w:t>
      </w:r>
      <w:r w:rsidRPr="000100BB">
        <w:rPr>
          <w:rFonts w:asciiTheme="minorHAnsi" w:hAnsiTheme="minorHAnsi"/>
          <w:spacing w:val="2"/>
          <w:sz w:val="22"/>
          <w:szCs w:val="22"/>
        </w:rPr>
        <w:t xml:space="preserve"> </w:t>
      </w:r>
      <w:r w:rsidRPr="000100BB">
        <w:rPr>
          <w:rFonts w:asciiTheme="minorHAnsi" w:hAnsiTheme="minorHAnsi"/>
          <w:spacing w:val="-1"/>
          <w:sz w:val="22"/>
          <w:szCs w:val="22"/>
        </w:rPr>
        <w:t>will look</w:t>
      </w:r>
      <w:r w:rsidRPr="000100BB">
        <w:rPr>
          <w:rFonts w:asciiTheme="minorHAnsi" w:hAnsiTheme="minorHAnsi"/>
          <w:sz w:val="22"/>
          <w:szCs w:val="22"/>
        </w:rPr>
        <w:t xml:space="preserve"> </w:t>
      </w:r>
      <w:r w:rsidRPr="000100BB">
        <w:rPr>
          <w:rFonts w:asciiTheme="minorHAnsi" w:hAnsiTheme="minorHAnsi"/>
          <w:spacing w:val="-1"/>
          <w:sz w:val="22"/>
          <w:szCs w:val="22"/>
        </w:rPr>
        <w:t>at</w:t>
      </w:r>
      <w:r w:rsidRPr="000100BB">
        <w:rPr>
          <w:rFonts w:asciiTheme="minorHAnsi" w:hAnsiTheme="minorHAnsi"/>
          <w:spacing w:val="65"/>
          <w:sz w:val="22"/>
          <w:szCs w:val="22"/>
        </w:rPr>
        <w:t xml:space="preserve"> </w:t>
      </w:r>
      <w:r w:rsidRPr="000100BB">
        <w:rPr>
          <w:rFonts w:asciiTheme="minorHAnsi" w:hAnsiTheme="minorHAnsi"/>
          <w:spacing w:val="-1"/>
          <w:sz w:val="22"/>
          <w:szCs w:val="22"/>
        </w:rPr>
        <w:t>provisions</w:t>
      </w:r>
      <w:r w:rsidRPr="000100BB">
        <w:rPr>
          <w:rFonts w:asciiTheme="minorHAnsi" w:hAnsiTheme="minorHAnsi"/>
          <w:sz w:val="22"/>
          <w:szCs w:val="22"/>
        </w:rPr>
        <w:t xml:space="preserve"> </w:t>
      </w:r>
      <w:r w:rsidRPr="000100BB">
        <w:rPr>
          <w:rFonts w:asciiTheme="minorHAnsi" w:hAnsiTheme="minorHAnsi"/>
          <w:spacing w:val="-1"/>
          <w:sz w:val="22"/>
          <w:szCs w:val="22"/>
        </w:rPr>
        <w:t>that</w:t>
      </w:r>
      <w:r w:rsidRPr="000100BB">
        <w:rPr>
          <w:rFonts w:asciiTheme="minorHAnsi" w:hAnsiTheme="minorHAnsi"/>
          <w:spacing w:val="1"/>
          <w:sz w:val="22"/>
          <w:szCs w:val="22"/>
        </w:rPr>
        <w:t xml:space="preserve"> </w:t>
      </w:r>
      <w:r w:rsidRPr="000100BB">
        <w:rPr>
          <w:rFonts w:asciiTheme="minorHAnsi" w:hAnsiTheme="minorHAnsi"/>
          <w:spacing w:val="-1"/>
          <w:sz w:val="22"/>
          <w:szCs w:val="22"/>
        </w:rPr>
        <w:t>are</w:t>
      </w:r>
      <w:r w:rsidRPr="000100BB">
        <w:rPr>
          <w:rFonts w:asciiTheme="minorHAnsi" w:hAnsiTheme="minorHAnsi"/>
          <w:spacing w:val="2"/>
          <w:sz w:val="22"/>
          <w:szCs w:val="22"/>
        </w:rPr>
        <w:t xml:space="preserve"> </w:t>
      </w:r>
      <w:r w:rsidRPr="000100BB">
        <w:rPr>
          <w:rFonts w:asciiTheme="minorHAnsi" w:hAnsiTheme="minorHAnsi"/>
          <w:spacing w:val="-2"/>
          <w:sz w:val="22"/>
          <w:szCs w:val="22"/>
        </w:rPr>
        <w:t>within</w:t>
      </w:r>
      <w:r w:rsidRPr="000100BB">
        <w:rPr>
          <w:rFonts w:asciiTheme="minorHAnsi" w:hAnsiTheme="minorHAnsi"/>
          <w:spacing w:val="-1"/>
          <w:sz w:val="22"/>
          <w:szCs w:val="22"/>
        </w:rPr>
        <w:t xml:space="preserve"> the two</w:t>
      </w:r>
      <w:r w:rsidRPr="000100BB">
        <w:rPr>
          <w:rFonts w:asciiTheme="minorHAnsi" w:hAnsiTheme="minorHAnsi"/>
          <w:spacing w:val="-3"/>
          <w:sz w:val="22"/>
          <w:szCs w:val="22"/>
        </w:rPr>
        <w:t xml:space="preserve"> </w:t>
      </w:r>
      <w:r w:rsidRPr="000100BB">
        <w:rPr>
          <w:rFonts w:asciiTheme="minorHAnsi" w:hAnsiTheme="minorHAnsi"/>
          <w:sz w:val="22"/>
          <w:szCs w:val="22"/>
        </w:rPr>
        <w:t>months previous to</w:t>
      </w:r>
      <w:r w:rsidRPr="000100BB">
        <w:rPr>
          <w:rFonts w:asciiTheme="minorHAnsi" w:hAnsiTheme="minorHAnsi"/>
          <w:spacing w:val="-1"/>
          <w:sz w:val="22"/>
          <w:szCs w:val="22"/>
        </w:rPr>
        <w:t xml:space="preserve"> the invoice running.</w:t>
      </w:r>
      <w:r w:rsidRPr="000100BB">
        <w:rPr>
          <w:rFonts w:asciiTheme="minorHAnsi" w:hAnsiTheme="minorHAnsi"/>
          <w:spacing w:val="4"/>
          <w:sz w:val="22"/>
          <w:szCs w:val="22"/>
        </w:rPr>
        <w:t xml:space="preserve"> </w:t>
      </w:r>
      <w:r w:rsidRPr="000100BB">
        <w:rPr>
          <w:rFonts w:asciiTheme="minorHAnsi" w:hAnsiTheme="minorHAnsi"/>
          <w:spacing w:val="-1"/>
          <w:sz w:val="22"/>
          <w:szCs w:val="22"/>
        </w:rPr>
        <w:t>i.e.</w:t>
      </w:r>
      <w:r w:rsidRPr="000100BB">
        <w:rPr>
          <w:rFonts w:asciiTheme="minorHAnsi" w:hAnsiTheme="minorHAnsi"/>
          <w:spacing w:val="1"/>
          <w:sz w:val="22"/>
          <w:szCs w:val="22"/>
        </w:rPr>
        <w:t xml:space="preserve"> </w:t>
      </w:r>
      <w:r w:rsidRPr="000100BB">
        <w:rPr>
          <w:rFonts w:asciiTheme="minorHAnsi" w:hAnsiTheme="minorHAnsi"/>
          <w:spacing w:val="-2"/>
          <w:sz w:val="22"/>
          <w:szCs w:val="22"/>
        </w:rPr>
        <w:t>with</w:t>
      </w:r>
      <w:r w:rsidRPr="000100BB">
        <w:rPr>
          <w:rFonts w:asciiTheme="minorHAnsi" w:hAnsiTheme="minorHAnsi"/>
          <w:sz w:val="22"/>
          <w:szCs w:val="22"/>
        </w:rPr>
        <w:t xml:space="preserve"> </w:t>
      </w:r>
      <w:r w:rsidRPr="000100BB">
        <w:rPr>
          <w:rFonts w:asciiTheme="minorHAnsi" w:hAnsiTheme="minorHAnsi"/>
          <w:spacing w:val="-1"/>
          <w:sz w:val="22"/>
          <w:szCs w:val="22"/>
        </w:rPr>
        <w:t>regards</w:t>
      </w:r>
      <w:r w:rsidRPr="000100BB">
        <w:rPr>
          <w:rFonts w:asciiTheme="minorHAnsi" w:hAnsiTheme="minorHAnsi"/>
          <w:sz w:val="22"/>
          <w:szCs w:val="22"/>
        </w:rPr>
        <w:t xml:space="preserve"> to</w:t>
      </w:r>
      <w:r w:rsidRPr="000100BB">
        <w:rPr>
          <w:rFonts w:asciiTheme="minorHAnsi" w:hAnsiTheme="minorHAnsi"/>
          <w:spacing w:val="-1"/>
          <w:sz w:val="22"/>
          <w:szCs w:val="22"/>
        </w:rPr>
        <w:t xml:space="preserve"> </w:t>
      </w:r>
      <w:r w:rsidRPr="000100BB">
        <w:rPr>
          <w:rFonts w:asciiTheme="minorHAnsi" w:hAnsiTheme="minorHAnsi"/>
          <w:sz w:val="22"/>
          <w:szCs w:val="22"/>
        </w:rPr>
        <w:t>a</w:t>
      </w:r>
      <w:r w:rsidRPr="000100BB">
        <w:rPr>
          <w:rFonts w:asciiTheme="minorHAnsi" w:hAnsiTheme="minorHAnsi"/>
          <w:spacing w:val="75"/>
          <w:sz w:val="22"/>
          <w:szCs w:val="22"/>
        </w:rPr>
        <w:t xml:space="preserve"> </w:t>
      </w:r>
      <w:r w:rsidRPr="000100BB">
        <w:rPr>
          <w:rFonts w:asciiTheme="minorHAnsi" w:hAnsiTheme="minorHAnsi"/>
          <w:spacing w:val="-1"/>
          <w:sz w:val="22"/>
          <w:szCs w:val="22"/>
        </w:rPr>
        <w:t>provision from</w:t>
      </w:r>
      <w:r w:rsidRPr="000100BB">
        <w:rPr>
          <w:rFonts w:asciiTheme="minorHAnsi" w:hAnsiTheme="minorHAnsi"/>
          <w:sz w:val="22"/>
          <w:szCs w:val="22"/>
        </w:rPr>
        <w:t xml:space="preserve"> </w:t>
      </w:r>
      <w:r w:rsidRPr="000100BB">
        <w:rPr>
          <w:rFonts w:asciiTheme="minorHAnsi" w:hAnsiTheme="minorHAnsi"/>
          <w:spacing w:val="-1"/>
          <w:sz w:val="22"/>
          <w:szCs w:val="22"/>
        </w:rPr>
        <w:t>the</w:t>
      </w:r>
      <w:r w:rsidRPr="000100BB">
        <w:rPr>
          <w:rFonts w:asciiTheme="minorHAnsi" w:hAnsiTheme="minorHAnsi"/>
          <w:spacing w:val="-3"/>
          <w:sz w:val="22"/>
          <w:szCs w:val="22"/>
        </w:rPr>
        <w:t xml:space="preserve"> </w:t>
      </w:r>
      <w:r w:rsidRPr="000100BB">
        <w:rPr>
          <w:rFonts w:asciiTheme="minorHAnsi" w:hAnsiTheme="minorHAnsi"/>
          <w:spacing w:val="-1"/>
          <w:sz w:val="22"/>
          <w:szCs w:val="22"/>
        </w:rPr>
        <w:t>month of</w:t>
      </w:r>
      <w:r w:rsidRPr="000100BB">
        <w:rPr>
          <w:rFonts w:asciiTheme="minorHAnsi" w:hAnsiTheme="minorHAnsi"/>
          <w:spacing w:val="1"/>
          <w:sz w:val="22"/>
          <w:szCs w:val="22"/>
        </w:rPr>
        <w:t xml:space="preserve"> </w:t>
      </w:r>
      <w:r w:rsidRPr="000100BB">
        <w:rPr>
          <w:rFonts w:asciiTheme="minorHAnsi" w:hAnsiTheme="minorHAnsi"/>
          <w:spacing w:val="-1"/>
          <w:sz w:val="22"/>
          <w:szCs w:val="22"/>
        </w:rPr>
        <w:t>March (regardless</w:t>
      </w:r>
      <w:r w:rsidRPr="000100BB">
        <w:rPr>
          <w:rFonts w:asciiTheme="minorHAnsi" w:hAnsiTheme="minorHAnsi"/>
          <w:sz w:val="22"/>
          <w:szCs w:val="22"/>
        </w:rPr>
        <w:t xml:space="preserve"> to</w:t>
      </w:r>
      <w:r w:rsidRPr="000100BB">
        <w:rPr>
          <w:rFonts w:asciiTheme="minorHAnsi" w:hAnsiTheme="minorHAnsi"/>
          <w:spacing w:val="-1"/>
          <w:sz w:val="22"/>
          <w:szCs w:val="22"/>
        </w:rPr>
        <w:t xml:space="preserve"> </w:t>
      </w:r>
      <w:r w:rsidRPr="000100BB">
        <w:rPr>
          <w:rFonts w:asciiTheme="minorHAnsi" w:hAnsiTheme="minorHAnsi"/>
          <w:sz w:val="22"/>
          <w:szCs w:val="22"/>
        </w:rPr>
        <w:t>how</w:t>
      </w:r>
      <w:r w:rsidRPr="000100BB">
        <w:rPr>
          <w:rFonts w:asciiTheme="minorHAnsi" w:hAnsiTheme="minorHAnsi"/>
          <w:spacing w:val="-3"/>
          <w:sz w:val="22"/>
          <w:szCs w:val="22"/>
        </w:rPr>
        <w:t xml:space="preserve"> </w:t>
      </w:r>
      <w:r w:rsidRPr="000100BB">
        <w:rPr>
          <w:rFonts w:asciiTheme="minorHAnsi" w:hAnsiTheme="minorHAnsi"/>
          <w:spacing w:val="-1"/>
          <w:sz w:val="22"/>
          <w:szCs w:val="22"/>
        </w:rPr>
        <w:t>late in the</w:t>
      </w:r>
      <w:r w:rsidRPr="000100BB">
        <w:rPr>
          <w:rFonts w:asciiTheme="minorHAnsi" w:hAnsiTheme="minorHAnsi"/>
          <w:spacing w:val="-3"/>
          <w:sz w:val="22"/>
          <w:szCs w:val="22"/>
        </w:rPr>
        <w:t xml:space="preserve"> </w:t>
      </w:r>
      <w:r w:rsidRPr="000100BB">
        <w:rPr>
          <w:rFonts w:asciiTheme="minorHAnsi" w:hAnsiTheme="minorHAnsi"/>
          <w:sz w:val="22"/>
          <w:szCs w:val="22"/>
        </w:rPr>
        <w:t>month</w:t>
      </w:r>
      <w:r w:rsidRPr="000100BB">
        <w:rPr>
          <w:rFonts w:asciiTheme="minorHAnsi" w:hAnsiTheme="minorHAnsi"/>
          <w:spacing w:val="-1"/>
          <w:sz w:val="22"/>
          <w:szCs w:val="22"/>
        </w:rPr>
        <w:t xml:space="preserve"> the provision </w:t>
      </w:r>
      <w:r w:rsidRPr="000100BB">
        <w:rPr>
          <w:rFonts w:asciiTheme="minorHAnsi" w:hAnsiTheme="minorHAnsi"/>
          <w:sz w:val="22"/>
          <w:szCs w:val="22"/>
        </w:rPr>
        <w:t>date</w:t>
      </w:r>
      <w:r w:rsidRPr="000100BB">
        <w:rPr>
          <w:rFonts w:asciiTheme="minorHAnsi" w:hAnsiTheme="minorHAnsi"/>
          <w:spacing w:val="-1"/>
          <w:sz w:val="22"/>
          <w:szCs w:val="22"/>
        </w:rPr>
        <w:t xml:space="preserve"> is)</w:t>
      </w:r>
      <w:r w:rsidRPr="000100BB">
        <w:rPr>
          <w:rFonts w:asciiTheme="minorHAnsi" w:hAnsiTheme="minorHAnsi"/>
          <w:spacing w:val="83"/>
          <w:sz w:val="22"/>
          <w:szCs w:val="22"/>
        </w:rPr>
        <w:t xml:space="preserve"> </w:t>
      </w:r>
      <w:r w:rsidRPr="000100BB">
        <w:rPr>
          <w:rFonts w:asciiTheme="minorHAnsi" w:hAnsiTheme="minorHAnsi"/>
          <w:spacing w:val="-1"/>
          <w:sz w:val="22"/>
          <w:szCs w:val="22"/>
        </w:rPr>
        <w:t>the invoice that</w:t>
      </w:r>
      <w:r w:rsidRPr="000100BB">
        <w:rPr>
          <w:rFonts w:asciiTheme="minorHAnsi" w:hAnsiTheme="minorHAnsi"/>
          <w:spacing w:val="1"/>
          <w:sz w:val="22"/>
          <w:szCs w:val="22"/>
        </w:rPr>
        <w:t xml:space="preserve"> </w:t>
      </w:r>
      <w:r w:rsidRPr="000100BB">
        <w:rPr>
          <w:rFonts w:asciiTheme="minorHAnsi" w:hAnsiTheme="minorHAnsi"/>
          <w:spacing w:val="-1"/>
          <w:sz w:val="22"/>
          <w:szCs w:val="22"/>
        </w:rPr>
        <w:t>runs</w:t>
      </w:r>
      <w:r w:rsidRPr="000100BB">
        <w:rPr>
          <w:rFonts w:asciiTheme="minorHAnsi" w:hAnsiTheme="minorHAnsi"/>
          <w:sz w:val="22"/>
          <w:szCs w:val="22"/>
        </w:rPr>
        <w:t xml:space="preserve"> </w:t>
      </w:r>
      <w:r w:rsidRPr="000100BB">
        <w:rPr>
          <w:rFonts w:asciiTheme="minorHAnsi" w:hAnsiTheme="minorHAnsi"/>
          <w:spacing w:val="-1"/>
          <w:sz w:val="22"/>
          <w:szCs w:val="22"/>
        </w:rPr>
        <w:t>on</w:t>
      </w:r>
      <w:r w:rsidRPr="000100BB">
        <w:rPr>
          <w:rFonts w:asciiTheme="minorHAnsi" w:hAnsiTheme="minorHAnsi"/>
          <w:spacing w:val="2"/>
          <w:sz w:val="22"/>
          <w:szCs w:val="22"/>
        </w:rPr>
        <w:t xml:space="preserve"> </w:t>
      </w:r>
      <w:r w:rsidRPr="000100BB">
        <w:rPr>
          <w:rFonts w:asciiTheme="minorHAnsi" w:hAnsiTheme="minorHAnsi"/>
          <w:spacing w:val="-1"/>
          <w:sz w:val="22"/>
          <w:szCs w:val="22"/>
        </w:rPr>
        <w:t>the 5th of</w:t>
      </w:r>
      <w:r w:rsidRPr="000100BB">
        <w:rPr>
          <w:rFonts w:asciiTheme="minorHAnsi" w:hAnsiTheme="minorHAnsi"/>
          <w:spacing w:val="1"/>
          <w:sz w:val="22"/>
          <w:szCs w:val="22"/>
        </w:rPr>
        <w:t xml:space="preserve"> </w:t>
      </w:r>
      <w:r w:rsidRPr="000100BB">
        <w:rPr>
          <w:rFonts w:asciiTheme="minorHAnsi" w:hAnsiTheme="minorHAnsi"/>
          <w:spacing w:val="-2"/>
          <w:sz w:val="22"/>
          <w:szCs w:val="22"/>
        </w:rPr>
        <w:t>May</w:t>
      </w:r>
      <w:r w:rsidRPr="000100BB">
        <w:rPr>
          <w:rFonts w:asciiTheme="minorHAnsi" w:hAnsiTheme="minorHAnsi"/>
          <w:sz w:val="22"/>
          <w:szCs w:val="22"/>
        </w:rPr>
        <w:t xml:space="preserve"> </w:t>
      </w:r>
      <w:r w:rsidRPr="000100BB">
        <w:rPr>
          <w:rFonts w:asciiTheme="minorHAnsi" w:hAnsiTheme="minorHAnsi"/>
          <w:spacing w:val="-1"/>
          <w:sz w:val="22"/>
          <w:szCs w:val="22"/>
        </w:rPr>
        <w:t xml:space="preserve">would </w:t>
      </w:r>
      <w:r w:rsidRPr="000100BB">
        <w:rPr>
          <w:rFonts w:asciiTheme="minorHAnsi" w:hAnsiTheme="minorHAnsi"/>
          <w:sz w:val="22"/>
          <w:szCs w:val="22"/>
        </w:rPr>
        <w:t>be</w:t>
      </w:r>
      <w:r w:rsidRPr="000100BB">
        <w:rPr>
          <w:rFonts w:asciiTheme="minorHAnsi" w:hAnsiTheme="minorHAnsi"/>
          <w:spacing w:val="1"/>
          <w:sz w:val="22"/>
          <w:szCs w:val="22"/>
        </w:rPr>
        <w:t xml:space="preserve"> </w:t>
      </w:r>
      <w:r w:rsidRPr="000100BB">
        <w:rPr>
          <w:rFonts w:asciiTheme="minorHAnsi" w:hAnsiTheme="minorHAnsi"/>
          <w:spacing w:val="-1"/>
          <w:sz w:val="22"/>
          <w:szCs w:val="22"/>
        </w:rPr>
        <w:t>the last</w:t>
      </w:r>
      <w:r w:rsidRPr="000100BB">
        <w:rPr>
          <w:rFonts w:asciiTheme="minorHAnsi" w:hAnsiTheme="minorHAnsi"/>
          <w:spacing w:val="1"/>
          <w:sz w:val="22"/>
          <w:szCs w:val="22"/>
        </w:rPr>
        <w:t xml:space="preserve"> </w:t>
      </w:r>
      <w:r w:rsidRPr="000100BB">
        <w:rPr>
          <w:rFonts w:asciiTheme="minorHAnsi" w:hAnsiTheme="minorHAnsi"/>
          <w:spacing w:val="-1"/>
          <w:sz w:val="22"/>
          <w:szCs w:val="22"/>
        </w:rPr>
        <w:t xml:space="preserve">chance </w:t>
      </w:r>
      <w:r w:rsidRPr="000100BB">
        <w:rPr>
          <w:rFonts w:asciiTheme="minorHAnsi" w:hAnsiTheme="minorHAnsi"/>
          <w:sz w:val="22"/>
          <w:szCs w:val="22"/>
        </w:rPr>
        <w:t>to</w:t>
      </w:r>
      <w:r w:rsidRPr="000100BB">
        <w:rPr>
          <w:rFonts w:asciiTheme="minorHAnsi" w:hAnsiTheme="minorHAnsi"/>
          <w:spacing w:val="-1"/>
          <w:sz w:val="22"/>
          <w:szCs w:val="22"/>
        </w:rPr>
        <w:t xml:space="preserve"> </w:t>
      </w:r>
      <w:r w:rsidRPr="000100BB">
        <w:rPr>
          <w:rFonts w:asciiTheme="minorHAnsi" w:hAnsiTheme="minorHAnsi"/>
          <w:spacing w:val="-2"/>
          <w:sz w:val="22"/>
          <w:szCs w:val="22"/>
        </w:rPr>
        <w:t>have</w:t>
      </w:r>
      <w:r w:rsidRPr="000100BB">
        <w:rPr>
          <w:rFonts w:asciiTheme="minorHAnsi" w:hAnsiTheme="minorHAnsi"/>
          <w:spacing w:val="1"/>
          <w:sz w:val="22"/>
          <w:szCs w:val="22"/>
        </w:rPr>
        <w:t xml:space="preserve"> </w:t>
      </w:r>
      <w:r w:rsidRPr="000100BB">
        <w:rPr>
          <w:rFonts w:asciiTheme="minorHAnsi" w:hAnsiTheme="minorHAnsi"/>
          <w:spacing w:val="-1"/>
          <w:sz w:val="22"/>
          <w:szCs w:val="22"/>
        </w:rPr>
        <w:t>it</w:t>
      </w:r>
      <w:r w:rsidRPr="000100BB">
        <w:rPr>
          <w:rFonts w:asciiTheme="minorHAnsi" w:hAnsiTheme="minorHAnsi"/>
          <w:spacing w:val="1"/>
          <w:sz w:val="22"/>
          <w:szCs w:val="22"/>
        </w:rPr>
        <w:t xml:space="preserve"> </w:t>
      </w:r>
      <w:r w:rsidRPr="000100BB">
        <w:rPr>
          <w:rFonts w:asciiTheme="minorHAnsi" w:hAnsiTheme="minorHAnsi"/>
          <w:sz w:val="22"/>
          <w:szCs w:val="22"/>
        </w:rPr>
        <w:t>processed</w:t>
      </w:r>
      <w:r w:rsidRPr="000100BB">
        <w:rPr>
          <w:rFonts w:asciiTheme="minorHAnsi" w:hAnsiTheme="minorHAnsi"/>
          <w:spacing w:val="-1"/>
          <w:sz w:val="22"/>
          <w:szCs w:val="22"/>
        </w:rPr>
        <w:t xml:space="preserve"> by</w:t>
      </w:r>
      <w:r w:rsidRPr="000100BB">
        <w:rPr>
          <w:rFonts w:asciiTheme="minorHAnsi" w:hAnsiTheme="minorHAnsi"/>
          <w:spacing w:val="-2"/>
          <w:sz w:val="22"/>
          <w:szCs w:val="22"/>
        </w:rPr>
        <w:t xml:space="preserve"> </w:t>
      </w:r>
      <w:r w:rsidRPr="000100BB">
        <w:rPr>
          <w:rFonts w:asciiTheme="minorHAnsi" w:hAnsiTheme="minorHAnsi"/>
          <w:spacing w:val="-1"/>
          <w:sz w:val="22"/>
          <w:szCs w:val="22"/>
        </w:rPr>
        <w:t>the</w:t>
      </w:r>
      <w:r w:rsidRPr="000100BB">
        <w:rPr>
          <w:rFonts w:asciiTheme="minorHAnsi" w:hAnsiTheme="minorHAnsi"/>
          <w:spacing w:val="77"/>
          <w:sz w:val="22"/>
          <w:szCs w:val="22"/>
        </w:rPr>
        <w:t xml:space="preserve"> </w:t>
      </w:r>
      <w:r w:rsidRPr="000100BB">
        <w:rPr>
          <w:rFonts w:asciiTheme="minorHAnsi" w:hAnsiTheme="minorHAnsi"/>
          <w:spacing w:val="-1"/>
          <w:sz w:val="22"/>
          <w:szCs w:val="22"/>
        </w:rPr>
        <w:t xml:space="preserve">invoicing </w:t>
      </w:r>
      <w:r w:rsidRPr="000100BB">
        <w:rPr>
          <w:rFonts w:asciiTheme="minorHAnsi" w:hAnsiTheme="minorHAnsi"/>
          <w:sz w:val="22"/>
          <w:szCs w:val="22"/>
        </w:rPr>
        <w:t>system.</w:t>
      </w:r>
      <w:r w:rsidRPr="000100BB">
        <w:rPr>
          <w:rFonts w:asciiTheme="minorHAnsi" w:hAnsiTheme="minorHAnsi"/>
          <w:spacing w:val="-2"/>
          <w:sz w:val="22"/>
          <w:szCs w:val="22"/>
        </w:rPr>
        <w:t xml:space="preserve"> </w:t>
      </w:r>
      <w:r w:rsidRPr="000100BB">
        <w:rPr>
          <w:rFonts w:asciiTheme="minorHAnsi" w:hAnsiTheme="minorHAnsi"/>
          <w:sz w:val="22"/>
          <w:szCs w:val="22"/>
        </w:rPr>
        <w:t>By</w:t>
      </w:r>
      <w:r w:rsidRPr="000100BB">
        <w:rPr>
          <w:rFonts w:asciiTheme="minorHAnsi" w:hAnsiTheme="minorHAnsi"/>
          <w:spacing w:val="-2"/>
          <w:sz w:val="22"/>
          <w:szCs w:val="22"/>
        </w:rPr>
        <w:t xml:space="preserve"> </w:t>
      </w:r>
      <w:r w:rsidRPr="000100BB">
        <w:rPr>
          <w:rFonts w:asciiTheme="minorHAnsi" w:hAnsiTheme="minorHAnsi"/>
          <w:spacing w:val="-1"/>
          <w:sz w:val="22"/>
          <w:szCs w:val="22"/>
        </w:rPr>
        <w:t>the 5th of</w:t>
      </w:r>
      <w:r w:rsidRPr="000100BB">
        <w:rPr>
          <w:rFonts w:asciiTheme="minorHAnsi" w:hAnsiTheme="minorHAnsi"/>
          <w:spacing w:val="1"/>
          <w:sz w:val="22"/>
          <w:szCs w:val="22"/>
        </w:rPr>
        <w:t xml:space="preserve"> </w:t>
      </w:r>
      <w:r w:rsidRPr="000100BB">
        <w:rPr>
          <w:rFonts w:asciiTheme="minorHAnsi" w:hAnsiTheme="minorHAnsi"/>
          <w:spacing w:val="-1"/>
          <w:sz w:val="22"/>
          <w:szCs w:val="22"/>
        </w:rPr>
        <w:t>June it</w:t>
      </w:r>
      <w:r w:rsidRPr="000100BB">
        <w:rPr>
          <w:rFonts w:asciiTheme="minorHAnsi" w:hAnsiTheme="minorHAnsi"/>
          <w:spacing w:val="1"/>
          <w:sz w:val="22"/>
          <w:szCs w:val="22"/>
        </w:rPr>
        <w:t xml:space="preserve"> </w:t>
      </w:r>
      <w:r w:rsidRPr="000100BB">
        <w:rPr>
          <w:rFonts w:asciiTheme="minorHAnsi" w:hAnsiTheme="minorHAnsi"/>
          <w:spacing w:val="-1"/>
          <w:sz w:val="22"/>
          <w:szCs w:val="22"/>
        </w:rPr>
        <w:t>is</w:t>
      </w:r>
      <w:r w:rsidRPr="000100BB">
        <w:rPr>
          <w:rFonts w:asciiTheme="minorHAnsi" w:hAnsiTheme="minorHAnsi"/>
          <w:sz w:val="22"/>
          <w:szCs w:val="22"/>
        </w:rPr>
        <w:t xml:space="preserve"> </w:t>
      </w:r>
      <w:r w:rsidRPr="000100BB">
        <w:rPr>
          <w:rFonts w:asciiTheme="minorHAnsi" w:hAnsiTheme="minorHAnsi"/>
          <w:spacing w:val="-1"/>
          <w:sz w:val="22"/>
          <w:szCs w:val="22"/>
        </w:rPr>
        <w:t>too late and the provision</w:t>
      </w:r>
      <w:r w:rsidRPr="000100BB">
        <w:rPr>
          <w:rFonts w:asciiTheme="minorHAnsi" w:hAnsiTheme="minorHAnsi"/>
          <w:spacing w:val="2"/>
          <w:sz w:val="22"/>
          <w:szCs w:val="22"/>
        </w:rPr>
        <w:t xml:space="preserve"> </w:t>
      </w:r>
      <w:r w:rsidRPr="000100BB">
        <w:rPr>
          <w:rFonts w:asciiTheme="minorHAnsi" w:hAnsiTheme="minorHAnsi"/>
          <w:spacing w:val="-1"/>
          <w:sz w:val="22"/>
          <w:szCs w:val="22"/>
        </w:rPr>
        <w:t>will be ignored.</w:t>
      </w:r>
      <w:r w:rsidRPr="000100BB">
        <w:rPr>
          <w:rFonts w:asciiTheme="minorHAnsi" w:hAnsiTheme="minorHAnsi"/>
          <w:spacing w:val="1"/>
          <w:sz w:val="22"/>
          <w:szCs w:val="22"/>
        </w:rPr>
        <w:t xml:space="preserve"> </w:t>
      </w:r>
      <w:r w:rsidRPr="000100BB">
        <w:rPr>
          <w:rFonts w:asciiTheme="minorHAnsi" w:hAnsiTheme="minorHAnsi"/>
          <w:sz w:val="22"/>
          <w:szCs w:val="22"/>
        </w:rPr>
        <w:t>So</w:t>
      </w:r>
      <w:r w:rsidR="00A80EC7" w:rsidRPr="000100BB">
        <w:rPr>
          <w:rFonts w:asciiTheme="minorHAnsi" w:hAnsiTheme="minorHAnsi"/>
          <w:spacing w:val="61"/>
          <w:sz w:val="22"/>
          <w:szCs w:val="22"/>
        </w:rPr>
        <w:t xml:space="preserve"> </w:t>
      </w:r>
      <w:r w:rsidRPr="000100BB">
        <w:rPr>
          <w:rFonts w:asciiTheme="minorHAnsi" w:hAnsiTheme="minorHAnsi"/>
          <w:sz w:val="22"/>
          <w:szCs w:val="22"/>
        </w:rPr>
        <w:t>any</w:t>
      </w:r>
      <w:r w:rsidRPr="000100BB">
        <w:rPr>
          <w:rFonts w:asciiTheme="minorHAnsi" w:hAnsiTheme="minorHAnsi"/>
          <w:spacing w:val="2"/>
          <w:sz w:val="22"/>
          <w:szCs w:val="22"/>
        </w:rPr>
        <w:t xml:space="preserve"> </w:t>
      </w:r>
      <w:r w:rsidRPr="000100BB">
        <w:rPr>
          <w:rFonts w:asciiTheme="minorHAnsi" w:hAnsiTheme="minorHAnsi"/>
          <w:spacing w:val="-1"/>
          <w:sz w:val="22"/>
          <w:szCs w:val="22"/>
        </w:rPr>
        <w:t>March provisions</w:t>
      </w:r>
      <w:r w:rsidRPr="000100BB">
        <w:rPr>
          <w:rFonts w:asciiTheme="minorHAnsi" w:hAnsiTheme="minorHAnsi"/>
          <w:spacing w:val="3"/>
          <w:sz w:val="22"/>
          <w:szCs w:val="22"/>
        </w:rPr>
        <w:t xml:space="preserve"> </w:t>
      </w:r>
      <w:r w:rsidRPr="000100BB">
        <w:rPr>
          <w:rFonts w:asciiTheme="minorHAnsi" w:hAnsiTheme="minorHAnsi"/>
          <w:spacing w:val="-1"/>
          <w:sz w:val="22"/>
          <w:szCs w:val="22"/>
        </w:rPr>
        <w:t xml:space="preserve">will be </w:t>
      </w:r>
      <w:r w:rsidRPr="000100BB">
        <w:rPr>
          <w:rFonts w:asciiTheme="minorHAnsi" w:hAnsiTheme="minorHAnsi"/>
          <w:sz w:val="22"/>
          <w:szCs w:val="22"/>
        </w:rPr>
        <w:t>out</w:t>
      </w:r>
      <w:r w:rsidRPr="000100BB">
        <w:rPr>
          <w:rFonts w:asciiTheme="minorHAnsi" w:hAnsiTheme="minorHAnsi"/>
          <w:spacing w:val="1"/>
          <w:sz w:val="22"/>
          <w:szCs w:val="22"/>
        </w:rPr>
        <w:t xml:space="preserve"> </w:t>
      </w:r>
      <w:r w:rsidRPr="000100BB">
        <w:rPr>
          <w:rFonts w:asciiTheme="minorHAnsi" w:hAnsiTheme="minorHAnsi"/>
          <w:spacing w:val="-1"/>
          <w:sz w:val="22"/>
          <w:szCs w:val="22"/>
        </w:rPr>
        <w:t>of</w:t>
      </w:r>
      <w:r w:rsidRPr="000100BB">
        <w:rPr>
          <w:rFonts w:asciiTheme="minorHAnsi" w:hAnsiTheme="minorHAnsi"/>
          <w:spacing w:val="3"/>
          <w:sz w:val="22"/>
          <w:szCs w:val="22"/>
        </w:rPr>
        <w:t xml:space="preserve"> </w:t>
      </w:r>
      <w:r w:rsidRPr="000100BB">
        <w:rPr>
          <w:rFonts w:asciiTheme="minorHAnsi" w:hAnsiTheme="minorHAnsi"/>
          <w:spacing w:val="-1"/>
          <w:sz w:val="22"/>
          <w:szCs w:val="22"/>
        </w:rPr>
        <w:t>grace.</w:t>
      </w:r>
    </w:p>
    <w:p w14:paraId="45FB0818" w14:textId="77777777" w:rsidR="000558BF" w:rsidRPr="000100BB" w:rsidRDefault="000558BF" w:rsidP="00A80EC7">
      <w:pPr>
        <w:pStyle w:val="NormalWeb"/>
        <w:shd w:val="clear" w:color="auto" w:fill="F6F6F6"/>
        <w:spacing w:line="360" w:lineRule="atLeast"/>
        <w:ind w:left="720"/>
        <w:rPr>
          <w:rFonts w:asciiTheme="minorHAnsi" w:hAnsiTheme="minorHAnsi"/>
          <w:color w:val="000000" w:themeColor="text1"/>
          <w:sz w:val="22"/>
          <w:szCs w:val="22"/>
        </w:rPr>
      </w:pPr>
    </w:p>
    <w:p w14:paraId="049F31CB" w14:textId="77777777" w:rsidR="000558BF" w:rsidRPr="000100BB" w:rsidRDefault="000558BF">
      <w:pPr>
        <w:rPr>
          <w:rFonts w:eastAsia="Times New Roman" w:cs="Times New Roman"/>
          <w:color w:val="000000" w:themeColor="text1"/>
          <w:lang w:eastAsia="en-GB"/>
        </w:rPr>
      </w:pPr>
      <w:r w:rsidRPr="000100BB">
        <w:rPr>
          <w:color w:val="000000" w:themeColor="text1"/>
        </w:rPr>
        <w:br w:type="page"/>
      </w:r>
    </w:p>
    <w:p w14:paraId="5A2DBBC6" w14:textId="77777777" w:rsidR="00B27745" w:rsidRPr="000100BB" w:rsidRDefault="000558BF" w:rsidP="00A80EC7">
      <w:pPr>
        <w:pStyle w:val="NormalWeb"/>
        <w:shd w:val="clear" w:color="auto" w:fill="F6F6F6"/>
        <w:spacing w:line="360" w:lineRule="atLeast"/>
        <w:ind w:left="720"/>
        <w:rPr>
          <w:rFonts w:asciiTheme="minorHAnsi" w:hAnsiTheme="minorHAnsi"/>
          <w:b/>
          <w:color w:val="000000" w:themeColor="text1"/>
          <w:sz w:val="22"/>
          <w:szCs w:val="22"/>
        </w:rPr>
      </w:pPr>
      <w:r w:rsidRPr="000100BB">
        <w:rPr>
          <w:rFonts w:asciiTheme="minorHAnsi" w:hAnsiTheme="minorHAnsi"/>
          <w:b/>
          <w:color w:val="000000" w:themeColor="text1"/>
          <w:sz w:val="22"/>
          <w:szCs w:val="22"/>
        </w:rPr>
        <w:t>Appendix 1</w:t>
      </w:r>
    </w:p>
    <w:p w14:paraId="53128261" w14:textId="77777777" w:rsidR="00F974CD" w:rsidRPr="000100BB" w:rsidRDefault="00F974CD" w:rsidP="00A80EC7">
      <w:pPr>
        <w:pStyle w:val="NormalWeb"/>
        <w:shd w:val="clear" w:color="auto" w:fill="F6F6F6"/>
        <w:spacing w:line="360" w:lineRule="atLeast"/>
        <w:ind w:left="720"/>
        <w:rPr>
          <w:rFonts w:asciiTheme="minorHAnsi" w:hAnsiTheme="minorHAnsi"/>
          <w:b/>
          <w:color w:val="000000" w:themeColor="text1"/>
          <w:sz w:val="22"/>
          <w:szCs w:val="22"/>
        </w:rPr>
      </w:pPr>
    </w:p>
    <w:p w14:paraId="098C6DAA" w14:textId="77777777" w:rsidR="00F974CD" w:rsidRPr="002B4D8E" w:rsidRDefault="00F974CD" w:rsidP="5A84454D">
      <w:pPr>
        <w:ind w:left="709"/>
        <w:rPr>
          <w:b/>
          <w:bCs/>
          <w:i/>
          <w:iCs/>
        </w:rPr>
      </w:pPr>
      <w:r w:rsidRPr="002B4D8E">
        <w:rPr>
          <w:b/>
          <w:bCs/>
          <w:i/>
          <w:iCs/>
        </w:rPr>
        <w:t xml:space="preserve">STI Screening including Chlamydia screening and treatment </w:t>
      </w:r>
    </w:p>
    <w:p w14:paraId="228F4CA5" w14:textId="77777777" w:rsidR="00F974CD" w:rsidRPr="002B4D8E" w:rsidRDefault="00A22AB4" w:rsidP="5A84454D">
      <w:pPr>
        <w:ind w:left="709"/>
      </w:pPr>
      <w:r w:rsidRPr="002B4D8E">
        <w:t xml:space="preserve">Under the related sexual health services </w:t>
      </w:r>
      <w:r w:rsidR="002735E8" w:rsidRPr="002B4D8E">
        <w:t>contract,</w:t>
      </w:r>
      <w:r w:rsidRPr="002B4D8E">
        <w:t xml:space="preserve"> s</w:t>
      </w:r>
      <w:r w:rsidR="00F974CD" w:rsidRPr="002B4D8E">
        <w:t>ervice providers will receive:</w:t>
      </w:r>
    </w:p>
    <w:p w14:paraId="30777AD5" w14:textId="77777777" w:rsidR="00F974CD" w:rsidRPr="002B4D8E" w:rsidRDefault="00F974CD" w:rsidP="00F974CD">
      <w:pPr>
        <w:numPr>
          <w:ilvl w:val="0"/>
          <w:numId w:val="7"/>
        </w:numPr>
        <w:ind w:left="709"/>
      </w:pPr>
      <w:r w:rsidRPr="002B4D8E">
        <w:t xml:space="preserve">A fee of £1 for each STI kit supplied (including Chlamydia/Gonorrhoea screening kit) </w:t>
      </w:r>
    </w:p>
    <w:p w14:paraId="618ABEF5" w14:textId="2DD9FC6A" w:rsidR="00F974CD" w:rsidRPr="002B4D8E" w:rsidRDefault="00F974CD" w:rsidP="00F974CD">
      <w:pPr>
        <w:numPr>
          <w:ilvl w:val="0"/>
          <w:numId w:val="7"/>
        </w:numPr>
        <w:ind w:left="709"/>
      </w:pPr>
      <w:r w:rsidRPr="002B4D8E">
        <w:t xml:space="preserve">A fee of £5 for each completed kit received at the lab </w:t>
      </w:r>
    </w:p>
    <w:p w14:paraId="24527C95" w14:textId="77777777" w:rsidR="00F974CD" w:rsidRPr="002B4D8E" w:rsidRDefault="00F974CD" w:rsidP="00F974CD">
      <w:pPr>
        <w:numPr>
          <w:ilvl w:val="0"/>
          <w:numId w:val="7"/>
        </w:numPr>
        <w:ind w:left="709"/>
      </w:pPr>
      <w:r w:rsidRPr="002B4D8E">
        <w:t xml:space="preserve">A fee of £7.50 for a positive Chlamydia result </w:t>
      </w:r>
    </w:p>
    <w:p w14:paraId="12740DD0" w14:textId="4CC63FDE" w:rsidR="00F974CD" w:rsidRPr="002B4D8E" w:rsidRDefault="00F974CD" w:rsidP="00F974CD">
      <w:pPr>
        <w:numPr>
          <w:ilvl w:val="0"/>
          <w:numId w:val="7"/>
        </w:numPr>
        <w:ind w:left="709"/>
      </w:pPr>
      <w:r w:rsidRPr="002B4D8E">
        <w:t>A fee of £15 + drug cost for treatment</w:t>
      </w:r>
      <w:r w:rsidR="00E663C7">
        <w:t xml:space="preserve">. Pharmacies involved in the treatment of Chlamydia will need to undertake Patient Group Directive training with Barts Health. The training is </w:t>
      </w:r>
      <w:r w:rsidR="00774AA6">
        <w:t xml:space="preserve">currently scheduled twice yearly. </w:t>
      </w:r>
    </w:p>
    <w:p w14:paraId="62486C05" w14:textId="77777777" w:rsidR="000558BF" w:rsidRPr="000558BF" w:rsidRDefault="000558BF" w:rsidP="00A80EC7">
      <w:pPr>
        <w:pStyle w:val="NormalWeb"/>
        <w:shd w:val="clear" w:color="auto" w:fill="F6F6F6"/>
        <w:spacing w:line="360" w:lineRule="atLeast"/>
        <w:ind w:left="720"/>
        <w:rPr>
          <w:rFonts w:asciiTheme="minorHAnsi" w:hAnsiTheme="minorHAnsi"/>
          <w:color w:val="000000" w:themeColor="text1"/>
          <w:sz w:val="22"/>
          <w:szCs w:val="22"/>
        </w:rPr>
      </w:pPr>
    </w:p>
    <w:p w14:paraId="20D5BC51" w14:textId="77777777" w:rsidR="00DC4917" w:rsidRPr="00DC4917" w:rsidRDefault="00D34535" w:rsidP="00B260EE">
      <w:pPr>
        <w:pStyle w:val="NormalWeb"/>
        <w:shd w:val="clear" w:color="auto" w:fill="F6F6F6"/>
        <w:spacing w:line="360" w:lineRule="atLeast"/>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Payment for delivery of this provision will be verified and made under a separate contractual arrangement through LBTH Public Health. </w:t>
      </w:r>
    </w:p>
    <w:p w14:paraId="4101652C" w14:textId="77777777" w:rsidR="00F6386F" w:rsidRDefault="00F6386F"/>
    <w:p w14:paraId="4B99056E" w14:textId="77777777" w:rsidR="00F6386F" w:rsidRDefault="00F6386F">
      <w:r>
        <w:br w:type="page"/>
      </w:r>
    </w:p>
    <w:p w14:paraId="03737B86" w14:textId="77777777" w:rsidR="00F6386F" w:rsidRDefault="00F6386F" w:rsidP="00F6386F">
      <w:pPr>
        <w:pStyle w:val="NormalWeb"/>
        <w:shd w:val="clear" w:color="auto" w:fill="F6F6F6"/>
        <w:spacing w:line="360" w:lineRule="atLeast"/>
        <w:ind w:left="720"/>
        <w:rPr>
          <w:rFonts w:asciiTheme="minorHAnsi" w:hAnsiTheme="minorHAnsi"/>
          <w:b/>
          <w:color w:val="000000" w:themeColor="text1"/>
          <w:sz w:val="22"/>
          <w:szCs w:val="22"/>
        </w:rPr>
      </w:pPr>
      <w:r>
        <w:rPr>
          <w:rFonts w:asciiTheme="minorHAnsi" w:hAnsiTheme="minorHAnsi"/>
          <w:b/>
          <w:color w:val="000000" w:themeColor="text1"/>
          <w:sz w:val="22"/>
          <w:szCs w:val="22"/>
        </w:rPr>
        <w:t>Appendix 2</w:t>
      </w:r>
    </w:p>
    <w:p w14:paraId="1299C43A" w14:textId="77777777" w:rsidR="00F6386F" w:rsidRDefault="00F6386F" w:rsidP="00F6386F">
      <w:pPr>
        <w:pStyle w:val="NormalWeb"/>
        <w:shd w:val="clear" w:color="auto" w:fill="F6F6F6"/>
        <w:spacing w:line="360" w:lineRule="atLeast"/>
        <w:ind w:left="720"/>
        <w:rPr>
          <w:rFonts w:asciiTheme="minorHAnsi" w:hAnsiTheme="minorHAnsi"/>
          <w:b/>
          <w:color w:val="000000" w:themeColor="text1"/>
          <w:sz w:val="22"/>
          <w:szCs w:val="22"/>
        </w:rPr>
      </w:pPr>
    </w:p>
    <w:p w14:paraId="666F36A2" w14:textId="77777777" w:rsidR="00F6386F" w:rsidRDefault="00F6386F" w:rsidP="00F6386F">
      <w:pPr>
        <w:pStyle w:val="NormalWeb"/>
        <w:shd w:val="clear" w:color="auto" w:fill="F6F6F6"/>
        <w:spacing w:line="360" w:lineRule="atLeast"/>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Reset Drug &amp; Alcohol Treatment Service </w:t>
      </w:r>
    </w:p>
    <w:p w14:paraId="4C2F76B3" w14:textId="77777777" w:rsidR="00F6386F" w:rsidRDefault="00F6386F" w:rsidP="00F6386F">
      <w:pPr>
        <w:pStyle w:val="NormalWeb"/>
        <w:shd w:val="clear" w:color="auto" w:fill="F6F6F6"/>
        <w:spacing w:line="360" w:lineRule="atLeast"/>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An integrated service which provides structured drug and alcohol treatment interventions to Tower Hamlets residents aged 18 or over. </w:t>
      </w:r>
    </w:p>
    <w:p w14:paraId="32733270" w14:textId="77777777" w:rsidR="00F6386F" w:rsidRDefault="00F6386F" w:rsidP="00F6386F">
      <w:pPr>
        <w:pStyle w:val="NormalWeb"/>
        <w:shd w:val="clear" w:color="auto" w:fill="F6F6F6"/>
        <w:spacing w:line="360" w:lineRule="atLeast"/>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Support offered includes advice and information for substance users and others concerned or affected by someone else’s substance use. </w:t>
      </w:r>
    </w:p>
    <w:p w14:paraId="5C122AF2" w14:textId="77777777" w:rsidR="00F6386F" w:rsidRDefault="00F6386F" w:rsidP="00F6386F">
      <w:pPr>
        <w:pStyle w:val="NormalWeb"/>
        <w:shd w:val="clear" w:color="auto" w:fill="F6F6F6"/>
        <w:spacing w:line="360" w:lineRule="atLeast"/>
        <w:ind w:left="720"/>
        <w:rPr>
          <w:rFonts w:asciiTheme="minorHAnsi" w:hAnsiTheme="minorHAnsi"/>
          <w:color w:val="000000" w:themeColor="text1"/>
          <w:sz w:val="22"/>
          <w:szCs w:val="22"/>
        </w:rPr>
      </w:pPr>
      <w:r>
        <w:rPr>
          <w:rFonts w:asciiTheme="minorHAnsi" w:hAnsiTheme="minorHAnsi"/>
          <w:color w:val="000000" w:themeColor="text1"/>
          <w:sz w:val="22"/>
          <w:szCs w:val="22"/>
        </w:rPr>
        <w:t>Interventions offered include key working, substitute medication, community alcohol detoxification</w:t>
      </w:r>
      <w:r w:rsidR="00B17545">
        <w:rPr>
          <w:rFonts w:asciiTheme="minorHAnsi" w:hAnsiTheme="minorHAnsi"/>
          <w:color w:val="000000" w:themeColor="text1"/>
          <w:sz w:val="22"/>
          <w:szCs w:val="22"/>
        </w:rPr>
        <w:t>,</w:t>
      </w:r>
      <w:r>
        <w:rPr>
          <w:rFonts w:asciiTheme="minorHAnsi" w:hAnsiTheme="minorHAnsi"/>
          <w:color w:val="000000" w:themeColor="text1"/>
          <w:sz w:val="22"/>
          <w:szCs w:val="22"/>
        </w:rPr>
        <w:t xml:space="preserve"> nurse appointments for healthcare assessments, HIV and hepatitis B and C testing and immunisation, counselling, abstinence based groups, whole family interventions and more. </w:t>
      </w:r>
    </w:p>
    <w:p w14:paraId="5DD6CC71" w14:textId="77777777" w:rsidR="00F6386F" w:rsidRPr="002735E8" w:rsidRDefault="00F6386F" w:rsidP="00F6386F">
      <w:pPr>
        <w:pStyle w:val="NormalWeb"/>
        <w:shd w:val="clear" w:color="auto" w:fill="F6F6F6"/>
        <w:spacing w:line="360" w:lineRule="atLeast"/>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The Service is also supported by Outreach and Recovery Support Services. </w:t>
      </w:r>
    </w:p>
    <w:p w14:paraId="4DDBEF00" w14:textId="77777777" w:rsidR="001E50B4" w:rsidRDefault="001E50B4"/>
    <w:p w14:paraId="3461D779" w14:textId="77777777" w:rsidR="001E50B4" w:rsidRDefault="001E50B4">
      <w:r>
        <w:br w:type="page"/>
      </w:r>
    </w:p>
    <w:p w14:paraId="1CFBA8D1" w14:textId="77777777" w:rsidR="00B934EC" w:rsidRPr="002735E8" w:rsidRDefault="001E50B4">
      <w:pPr>
        <w:rPr>
          <w:b/>
        </w:rPr>
      </w:pPr>
      <w:r w:rsidRPr="002735E8">
        <w:rPr>
          <w:b/>
        </w:rPr>
        <w:t>Appendix 3</w:t>
      </w:r>
    </w:p>
    <w:p w14:paraId="3CF2D8B6" w14:textId="77777777" w:rsidR="001E50B4" w:rsidRDefault="001E50B4"/>
    <w:p w14:paraId="09D4960F" w14:textId="77777777" w:rsidR="001E50B4" w:rsidRDefault="00000000">
      <w:hyperlink r:id="rId11" w:history="1">
        <w:r w:rsidR="001E50B4">
          <w:rPr>
            <w:rStyle w:val="Hyperlink"/>
            <w:lang w:val="en"/>
          </w:rPr>
          <w:t>Hepatitis C: Enhancing Prevention,Testing and Care</w:t>
        </w:r>
      </w:hyperlink>
      <w:r w:rsidR="001E50B4">
        <w:rPr>
          <w:color w:val="333333"/>
          <w:lang w:val="en"/>
        </w:rPr>
        <w:t xml:space="preserve"> Training</w:t>
      </w:r>
    </w:p>
    <w:p w14:paraId="1F157D76" w14:textId="77777777" w:rsidR="001E50B4" w:rsidRDefault="00000000">
      <w:hyperlink r:id="rId12" w:history="1">
        <w:r w:rsidR="001E50B4">
          <w:rPr>
            <w:rStyle w:val="Hyperlink"/>
          </w:rPr>
          <w:t>http://elearning.rcgp.org.uk/course/info.php?popup=0&amp;id=175</w:t>
        </w:r>
      </w:hyperlink>
    </w:p>
    <w:sectPr w:rsidR="001E50B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4F61" w14:textId="77777777" w:rsidR="008F088D" w:rsidRDefault="008F088D" w:rsidP="00356AA3">
      <w:pPr>
        <w:spacing w:after="0" w:line="240" w:lineRule="auto"/>
      </w:pPr>
      <w:r>
        <w:separator/>
      </w:r>
    </w:p>
  </w:endnote>
  <w:endnote w:type="continuationSeparator" w:id="0">
    <w:p w14:paraId="0C8ACEE2" w14:textId="77777777" w:rsidR="008F088D" w:rsidRDefault="008F088D" w:rsidP="00356AA3">
      <w:pPr>
        <w:spacing w:after="0" w:line="240" w:lineRule="auto"/>
      </w:pPr>
      <w:r>
        <w:continuationSeparator/>
      </w:r>
    </w:p>
  </w:endnote>
  <w:endnote w:type="continuationNotice" w:id="1">
    <w:p w14:paraId="6CA4E7E8" w14:textId="77777777" w:rsidR="008F088D" w:rsidRDefault="008F0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029793"/>
      <w:docPartObj>
        <w:docPartGallery w:val="Page Numbers (Bottom of Page)"/>
        <w:docPartUnique/>
      </w:docPartObj>
    </w:sdtPr>
    <w:sdtEndPr>
      <w:rPr>
        <w:noProof/>
      </w:rPr>
    </w:sdtEndPr>
    <w:sdtContent>
      <w:p w14:paraId="3D3D22A9" w14:textId="77777777" w:rsidR="00356AA3" w:rsidRDefault="00356AA3">
        <w:pPr>
          <w:pStyle w:val="Footer"/>
          <w:jc w:val="right"/>
        </w:pPr>
        <w:r>
          <w:fldChar w:fldCharType="begin"/>
        </w:r>
        <w:r>
          <w:instrText xml:space="preserve"> PAGE   \* MERGEFORMAT </w:instrText>
        </w:r>
        <w:r>
          <w:fldChar w:fldCharType="separate"/>
        </w:r>
        <w:r w:rsidR="00B17545">
          <w:rPr>
            <w:noProof/>
          </w:rPr>
          <w:t>1</w:t>
        </w:r>
        <w:r>
          <w:rPr>
            <w:noProof/>
          </w:rPr>
          <w:fldChar w:fldCharType="end"/>
        </w:r>
      </w:p>
    </w:sdtContent>
  </w:sdt>
  <w:p w14:paraId="62EBF3C5" w14:textId="77777777" w:rsidR="00356AA3" w:rsidRDefault="00356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6C44" w14:textId="77777777" w:rsidR="008F088D" w:rsidRDefault="008F088D" w:rsidP="00356AA3">
      <w:pPr>
        <w:spacing w:after="0" w:line="240" w:lineRule="auto"/>
      </w:pPr>
      <w:r>
        <w:separator/>
      </w:r>
    </w:p>
  </w:footnote>
  <w:footnote w:type="continuationSeparator" w:id="0">
    <w:p w14:paraId="61D0C878" w14:textId="77777777" w:rsidR="008F088D" w:rsidRDefault="008F088D" w:rsidP="00356AA3">
      <w:pPr>
        <w:spacing w:after="0" w:line="240" w:lineRule="auto"/>
      </w:pPr>
      <w:r>
        <w:continuationSeparator/>
      </w:r>
    </w:p>
  </w:footnote>
  <w:footnote w:type="continuationNotice" w:id="1">
    <w:p w14:paraId="366C047B" w14:textId="77777777" w:rsidR="008F088D" w:rsidRDefault="008F088D">
      <w:pPr>
        <w:spacing w:after="0" w:line="240" w:lineRule="auto"/>
      </w:pPr>
    </w:p>
  </w:footnote>
  <w:footnote w:id="2">
    <w:p w14:paraId="64EB7785" w14:textId="77777777" w:rsidR="00F6386F" w:rsidRDefault="00F6386F">
      <w:pPr>
        <w:pStyle w:val="FootnoteText"/>
      </w:pPr>
      <w:r>
        <w:rPr>
          <w:rStyle w:val="FootnoteReference"/>
        </w:rPr>
        <w:footnoteRef/>
      </w:r>
      <w:r>
        <w:t xml:space="preserve"> Please refer to Appendix 2 for further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ED8"/>
    <w:multiLevelType w:val="hybridMultilevel"/>
    <w:tmpl w:val="050AA7D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Verdana"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Verdana"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Verdana"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322A13"/>
    <w:multiLevelType w:val="multilevel"/>
    <w:tmpl w:val="905247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C37981"/>
    <w:multiLevelType w:val="multilevel"/>
    <w:tmpl w:val="905247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252198"/>
    <w:multiLevelType w:val="multilevel"/>
    <w:tmpl w:val="566E45B0"/>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ind w:left="3230" w:hanging="360"/>
      </w:pPr>
      <w:rPr>
        <w:rFonts w:ascii="Symbol" w:hAnsi="Symbol" w:hint="default"/>
      </w:rPr>
    </w:lvl>
    <w:lvl w:ilvl="4">
      <w:start w:val="1"/>
      <w:numFmt w:val="decimal"/>
      <w:lvlText w:val="%5."/>
      <w:lvlJc w:val="left"/>
      <w:pPr>
        <w:ind w:left="3950" w:hanging="360"/>
      </w:pPr>
      <w:rPr>
        <w:rFonts w:hint="default"/>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 w15:restartNumberingAfterBreak="0">
    <w:nsid w:val="18A0608D"/>
    <w:multiLevelType w:val="multilevel"/>
    <w:tmpl w:val="883629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C51374"/>
    <w:multiLevelType w:val="hybridMultilevel"/>
    <w:tmpl w:val="B8648126"/>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8215E5"/>
    <w:multiLevelType w:val="hybridMultilevel"/>
    <w:tmpl w:val="8164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300414">
    <w:abstractNumId w:val="3"/>
  </w:num>
  <w:num w:numId="2" w16cid:durableId="701901402">
    <w:abstractNumId w:val="1"/>
  </w:num>
  <w:num w:numId="3" w16cid:durableId="701059172">
    <w:abstractNumId w:val="6"/>
  </w:num>
  <w:num w:numId="4" w16cid:durableId="930507984">
    <w:abstractNumId w:val="2"/>
  </w:num>
  <w:num w:numId="5" w16cid:durableId="260067696">
    <w:abstractNumId w:val="4"/>
  </w:num>
  <w:num w:numId="6" w16cid:durableId="198007929">
    <w:abstractNumId w:val="5"/>
  </w:num>
  <w:num w:numId="7" w16cid:durableId="87281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07"/>
    <w:rsid w:val="000100BB"/>
    <w:rsid w:val="000202A0"/>
    <w:rsid w:val="00025944"/>
    <w:rsid w:val="00044BF1"/>
    <w:rsid w:val="000558BF"/>
    <w:rsid w:val="000615C0"/>
    <w:rsid w:val="00080F43"/>
    <w:rsid w:val="0008245A"/>
    <w:rsid w:val="000A41FF"/>
    <w:rsid w:val="000D4157"/>
    <w:rsid w:val="000F42B0"/>
    <w:rsid w:val="00100F01"/>
    <w:rsid w:val="00104205"/>
    <w:rsid w:val="001142D5"/>
    <w:rsid w:val="00116B68"/>
    <w:rsid w:val="00122611"/>
    <w:rsid w:val="00124CFC"/>
    <w:rsid w:val="00126342"/>
    <w:rsid w:val="00141E2F"/>
    <w:rsid w:val="0016008A"/>
    <w:rsid w:val="0016473B"/>
    <w:rsid w:val="001823E7"/>
    <w:rsid w:val="001965DC"/>
    <w:rsid w:val="001A6C58"/>
    <w:rsid w:val="001C0BDC"/>
    <w:rsid w:val="001D21C6"/>
    <w:rsid w:val="001D513B"/>
    <w:rsid w:val="001E50B4"/>
    <w:rsid w:val="001E6B5F"/>
    <w:rsid w:val="0021036E"/>
    <w:rsid w:val="0021145B"/>
    <w:rsid w:val="00220317"/>
    <w:rsid w:val="00232B65"/>
    <w:rsid w:val="00236D37"/>
    <w:rsid w:val="00254C63"/>
    <w:rsid w:val="00260915"/>
    <w:rsid w:val="002648AC"/>
    <w:rsid w:val="002735E8"/>
    <w:rsid w:val="00280597"/>
    <w:rsid w:val="00283D5E"/>
    <w:rsid w:val="002A3A7E"/>
    <w:rsid w:val="002A5505"/>
    <w:rsid w:val="002B4D8E"/>
    <w:rsid w:val="002D0CAC"/>
    <w:rsid w:val="002F4FD4"/>
    <w:rsid w:val="00303689"/>
    <w:rsid w:val="003144DD"/>
    <w:rsid w:val="00355EDF"/>
    <w:rsid w:val="00356AA3"/>
    <w:rsid w:val="003824CA"/>
    <w:rsid w:val="003C30AA"/>
    <w:rsid w:val="003C388B"/>
    <w:rsid w:val="003C5295"/>
    <w:rsid w:val="003F7065"/>
    <w:rsid w:val="00422DC9"/>
    <w:rsid w:val="004246E2"/>
    <w:rsid w:val="00426C17"/>
    <w:rsid w:val="00427500"/>
    <w:rsid w:val="00427F2E"/>
    <w:rsid w:val="004310C6"/>
    <w:rsid w:val="0044656E"/>
    <w:rsid w:val="004565BF"/>
    <w:rsid w:val="00464569"/>
    <w:rsid w:val="00481C09"/>
    <w:rsid w:val="00483049"/>
    <w:rsid w:val="00486B98"/>
    <w:rsid w:val="004B4848"/>
    <w:rsid w:val="00504C94"/>
    <w:rsid w:val="00507A57"/>
    <w:rsid w:val="00517A1A"/>
    <w:rsid w:val="00552A07"/>
    <w:rsid w:val="00560317"/>
    <w:rsid w:val="00572525"/>
    <w:rsid w:val="0058526F"/>
    <w:rsid w:val="00585716"/>
    <w:rsid w:val="00595956"/>
    <w:rsid w:val="00597393"/>
    <w:rsid w:val="005C6D8E"/>
    <w:rsid w:val="005C70E9"/>
    <w:rsid w:val="005E3785"/>
    <w:rsid w:val="005E6156"/>
    <w:rsid w:val="005E732D"/>
    <w:rsid w:val="0060333C"/>
    <w:rsid w:val="0063184D"/>
    <w:rsid w:val="0064606D"/>
    <w:rsid w:val="006673ED"/>
    <w:rsid w:val="00681EFE"/>
    <w:rsid w:val="0068391D"/>
    <w:rsid w:val="006A2618"/>
    <w:rsid w:val="006A788D"/>
    <w:rsid w:val="006B1CDE"/>
    <w:rsid w:val="006D2363"/>
    <w:rsid w:val="006E2064"/>
    <w:rsid w:val="006E599A"/>
    <w:rsid w:val="00721CF6"/>
    <w:rsid w:val="0072218C"/>
    <w:rsid w:val="00746DF9"/>
    <w:rsid w:val="00763277"/>
    <w:rsid w:val="007746EE"/>
    <w:rsid w:val="00774AA6"/>
    <w:rsid w:val="00795835"/>
    <w:rsid w:val="007A0DAD"/>
    <w:rsid w:val="007A449A"/>
    <w:rsid w:val="007A4F11"/>
    <w:rsid w:val="007B1C16"/>
    <w:rsid w:val="007B4947"/>
    <w:rsid w:val="007B4E74"/>
    <w:rsid w:val="007C4344"/>
    <w:rsid w:val="00816CA3"/>
    <w:rsid w:val="00817C48"/>
    <w:rsid w:val="0082110D"/>
    <w:rsid w:val="00842759"/>
    <w:rsid w:val="00845DDD"/>
    <w:rsid w:val="00846730"/>
    <w:rsid w:val="00854B53"/>
    <w:rsid w:val="00860CFE"/>
    <w:rsid w:val="00861835"/>
    <w:rsid w:val="00864771"/>
    <w:rsid w:val="00874554"/>
    <w:rsid w:val="00877889"/>
    <w:rsid w:val="00887500"/>
    <w:rsid w:val="008D03F4"/>
    <w:rsid w:val="008E2312"/>
    <w:rsid w:val="008E490B"/>
    <w:rsid w:val="008F088D"/>
    <w:rsid w:val="009165A2"/>
    <w:rsid w:val="00923775"/>
    <w:rsid w:val="00924282"/>
    <w:rsid w:val="009259AE"/>
    <w:rsid w:val="00925F39"/>
    <w:rsid w:val="00954300"/>
    <w:rsid w:val="009A2F29"/>
    <w:rsid w:val="009D435A"/>
    <w:rsid w:val="009D742A"/>
    <w:rsid w:val="009F07D0"/>
    <w:rsid w:val="00A05366"/>
    <w:rsid w:val="00A06868"/>
    <w:rsid w:val="00A07316"/>
    <w:rsid w:val="00A22AB4"/>
    <w:rsid w:val="00A37BE0"/>
    <w:rsid w:val="00A4104B"/>
    <w:rsid w:val="00A41455"/>
    <w:rsid w:val="00A423C7"/>
    <w:rsid w:val="00A43C05"/>
    <w:rsid w:val="00A5062D"/>
    <w:rsid w:val="00A50B6D"/>
    <w:rsid w:val="00A526C5"/>
    <w:rsid w:val="00A7212E"/>
    <w:rsid w:val="00A745F7"/>
    <w:rsid w:val="00A80EC7"/>
    <w:rsid w:val="00A87D8A"/>
    <w:rsid w:val="00A955E5"/>
    <w:rsid w:val="00AD615E"/>
    <w:rsid w:val="00AE21BF"/>
    <w:rsid w:val="00AE7929"/>
    <w:rsid w:val="00B1014C"/>
    <w:rsid w:val="00B12D18"/>
    <w:rsid w:val="00B15658"/>
    <w:rsid w:val="00B17249"/>
    <w:rsid w:val="00B17545"/>
    <w:rsid w:val="00B260EE"/>
    <w:rsid w:val="00B27745"/>
    <w:rsid w:val="00B33C53"/>
    <w:rsid w:val="00B56E3F"/>
    <w:rsid w:val="00B7463F"/>
    <w:rsid w:val="00B77680"/>
    <w:rsid w:val="00B87441"/>
    <w:rsid w:val="00B9142B"/>
    <w:rsid w:val="00B934EC"/>
    <w:rsid w:val="00B97FA9"/>
    <w:rsid w:val="00BB121A"/>
    <w:rsid w:val="00BC732F"/>
    <w:rsid w:val="00BD2178"/>
    <w:rsid w:val="00BE400A"/>
    <w:rsid w:val="00BF4ABE"/>
    <w:rsid w:val="00C109A7"/>
    <w:rsid w:val="00C15358"/>
    <w:rsid w:val="00C41471"/>
    <w:rsid w:val="00C61971"/>
    <w:rsid w:val="00C90844"/>
    <w:rsid w:val="00C91EAA"/>
    <w:rsid w:val="00CB0D47"/>
    <w:rsid w:val="00CE3280"/>
    <w:rsid w:val="00CF0567"/>
    <w:rsid w:val="00CF407B"/>
    <w:rsid w:val="00CF5BB0"/>
    <w:rsid w:val="00D03ECD"/>
    <w:rsid w:val="00D21BE5"/>
    <w:rsid w:val="00D23C35"/>
    <w:rsid w:val="00D32CC4"/>
    <w:rsid w:val="00D334CC"/>
    <w:rsid w:val="00D34535"/>
    <w:rsid w:val="00D37106"/>
    <w:rsid w:val="00D526DF"/>
    <w:rsid w:val="00D57468"/>
    <w:rsid w:val="00D62002"/>
    <w:rsid w:val="00D814E0"/>
    <w:rsid w:val="00D82C91"/>
    <w:rsid w:val="00D857CB"/>
    <w:rsid w:val="00D97DCB"/>
    <w:rsid w:val="00DA45BE"/>
    <w:rsid w:val="00DC4917"/>
    <w:rsid w:val="00DD361A"/>
    <w:rsid w:val="00DE57A0"/>
    <w:rsid w:val="00E01901"/>
    <w:rsid w:val="00E07D0A"/>
    <w:rsid w:val="00E115C6"/>
    <w:rsid w:val="00E213FC"/>
    <w:rsid w:val="00E249D2"/>
    <w:rsid w:val="00E2624D"/>
    <w:rsid w:val="00E35951"/>
    <w:rsid w:val="00E663C7"/>
    <w:rsid w:val="00E76330"/>
    <w:rsid w:val="00EA12D2"/>
    <w:rsid w:val="00EA4493"/>
    <w:rsid w:val="00EB1093"/>
    <w:rsid w:val="00F426EF"/>
    <w:rsid w:val="00F55BCC"/>
    <w:rsid w:val="00F6386F"/>
    <w:rsid w:val="00F719A8"/>
    <w:rsid w:val="00F95F45"/>
    <w:rsid w:val="00F974CD"/>
    <w:rsid w:val="00FA067B"/>
    <w:rsid w:val="00FA3F4A"/>
    <w:rsid w:val="00FA43E7"/>
    <w:rsid w:val="00FB3837"/>
    <w:rsid w:val="00FC62ED"/>
    <w:rsid w:val="00FD0CB5"/>
    <w:rsid w:val="00FE187B"/>
    <w:rsid w:val="00FE6D6E"/>
    <w:rsid w:val="03F821E7"/>
    <w:rsid w:val="0B7F34EE"/>
    <w:rsid w:val="0E86837C"/>
    <w:rsid w:val="0FF94E20"/>
    <w:rsid w:val="11017762"/>
    <w:rsid w:val="11B611E9"/>
    <w:rsid w:val="15274B71"/>
    <w:rsid w:val="1A8F314B"/>
    <w:rsid w:val="1AEBEED6"/>
    <w:rsid w:val="20566561"/>
    <w:rsid w:val="24E2691A"/>
    <w:rsid w:val="2911723A"/>
    <w:rsid w:val="2DD34905"/>
    <w:rsid w:val="2F293791"/>
    <w:rsid w:val="378F8533"/>
    <w:rsid w:val="3791FA24"/>
    <w:rsid w:val="3E803F66"/>
    <w:rsid w:val="3FEFA680"/>
    <w:rsid w:val="416F7F7C"/>
    <w:rsid w:val="44474883"/>
    <w:rsid w:val="4BB3F1F4"/>
    <w:rsid w:val="58F390F9"/>
    <w:rsid w:val="59AC1858"/>
    <w:rsid w:val="5A84454D"/>
    <w:rsid w:val="5AF31290"/>
    <w:rsid w:val="5C2D6704"/>
    <w:rsid w:val="5CA4E325"/>
    <w:rsid w:val="6019C021"/>
    <w:rsid w:val="62BA29A5"/>
    <w:rsid w:val="64090B7C"/>
    <w:rsid w:val="643B57B9"/>
    <w:rsid w:val="67DF769E"/>
    <w:rsid w:val="681C85FD"/>
    <w:rsid w:val="68C5EE12"/>
    <w:rsid w:val="695EB5C1"/>
    <w:rsid w:val="6E8F80FE"/>
    <w:rsid w:val="6FFB0EB9"/>
    <w:rsid w:val="70A26FD4"/>
    <w:rsid w:val="733235F9"/>
    <w:rsid w:val="736F7233"/>
    <w:rsid w:val="73706E52"/>
    <w:rsid w:val="74CE065A"/>
    <w:rsid w:val="7F838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8211"/>
  <w15:docId w15:val="{79B84B03-6FF4-439F-AEE9-5AAB8C7F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A07"/>
    <w:pPr>
      <w:spacing w:after="18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52A07"/>
    <w:rPr>
      <w:sz w:val="16"/>
      <w:szCs w:val="16"/>
    </w:rPr>
  </w:style>
  <w:style w:type="paragraph" w:styleId="CommentText">
    <w:name w:val="annotation text"/>
    <w:basedOn w:val="Normal"/>
    <w:link w:val="CommentTextChar"/>
    <w:uiPriority w:val="99"/>
    <w:semiHidden/>
    <w:unhideWhenUsed/>
    <w:rsid w:val="00552A07"/>
    <w:pPr>
      <w:spacing w:line="240" w:lineRule="auto"/>
    </w:pPr>
    <w:rPr>
      <w:sz w:val="20"/>
      <w:szCs w:val="20"/>
    </w:rPr>
  </w:style>
  <w:style w:type="character" w:customStyle="1" w:styleId="CommentTextChar">
    <w:name w:val="Comment Text Char"/>
    <w:basedOn w:val="DefaultParagraphFont"/>
    <w:link w:val="CommentText"/>
    <w:uiPriority w:val="99"/>
    <w:semiHidden/>
    <w:rsid w:val="00552A07"/>
    <w:rPr>
      <w:sz w:val="20"/>
      <w:szCs w:val="20"/>
    </w:rPr>
  </w:style>
  <w:style w:type="paragraph" w:styleId="CommentSubject">
    <w:name w:val="annotation subject"/>
    <w:basedOn w:val="CommentText"/>
    <w:next w:val="CommentText"/>
    <w:link w:val="CommentSubjectChar"/>
    <w:uiPriority w:val="99"/>
    <w:semiHidden/>
    <w:unhideWhenUsed/>
    <w:rsid w:val="00552A07"/>
    <w:rPr>
      <w:b/>
      <w:bCs/>
    </w:rPr>
  </w:style>
  <w:style w:type="character" w:customStyle="1" w:styleId="CommentSubjectChar">
    <w:name w:val="Comment Subject Char"/>
    <w:basedOn w:val="CommentTextChar"/>
    <w:link w:val="CommentSubject"/>
    <w:uiPriority w:val="99"/>
    <w:semiHidden/>
    <w:rsid w:val="00552A07"/>
    <w:rPr>
      <w:b/>
      <w:bCs/>
      <w:sz w:val="20"/>
      <w:szCs w:val="20"/>
    </w:rPr>
  </w:style>
  <w:style w:type="paragraph" w:styleId="BalloonText">
    <w:name w:val="Balloon Text"/>
    <w:basedOn w:val="Normal"/>
    <w:link w:val="BalloonTextChar"/>
    <w:uiPriority w:val="99"/>
    <w:semiHidden/>
    <w:unhideWhenUsed/>
    <w:rsid w:val="0055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07"/>
    <w:rPr>
      <w:rFonts w:ascii="Tahoma" w:hAnsi="Tahoma" w:cs="Tahoma"/>
      <w:sz w:val="16"/>
      <w:szCs w:val="16"/>
    </w:rPr>
  </w:style>
  <w:style w:type="paragraph" w:styleId="ListParagraph">
    <w:name w:val="List Paragraph"/>
    <w:basedOn w:val="Normal"/>
    <w:uiPriority w:val="34"/>
    <w:qFormat/>
    <w:rsid w:val="00B934EC"/>
    <w:pPr>
      <w:ind w:left="720"/>
      <w:contextualSpacing/>
    </w:pPr>
  </w:style>
  <w:style w:type="table" w:styleId="TableGrid">
    <w:name w:val="Table Grid"/>
    <w:basedOn w:val="TableNormal"/>
    <w:uiPriority w:val="59"/>
    <w:rsid w:val="0059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AA3"/>
  </w:style>
  <w:style w:type="paragraph" w:styleId="Footer">
    <w:name w:val="footer"/>
    <w:basedOn w:val="Normal"/>
    <w:link w:val="FooterChar"/>
    <w:uiPriority w:val="99"/>
    <w:unhideWhenUsed/>
    <w:rsid w:val="00356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AA3"/>
  </w:style>
  <w:style w:type="paragraph" w:styleId="FootnoteText">
    <w:name w:val="footnote text"/>
    <w:basedOn w:val="Normal"/>
    <w:link w:val="FootnoteTextChar"/>
    <w:uiPriority w:val="99"/>
    <w:semiHidden/>
    <w:unhideWhenUsed/>
    <w:rsid w:val="00F63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86F"/>
    <w:rPr>
      <w:sz w:val="20"/>
      <w:szCs w:val="20"/>
    </w:rPr>
  </w:style>
  <w:style w:type="character" w:styleId="FootnoteReference">
    <w:name w:val="footnote reference"/>
    <w:basedOn w:val="DefaultParagraphFont"/>
    <w:uiPriority w:val="99"/>
    <w:semiHidden/>
    <w:unhideWhenUsed/>
    <w:rsid w:val="00F6386F"/>
    <w:rPr>
      <w:vertAlign w:val="superscript"/>
    </w:rPr>
  </w:style>
  <w:style w:type="character" w:styleId="Hyperlink">
    <w:name w:val="Hyperlink"/>
    <w:basedOn w:val="DefaultParagraphFont"/>
    <w:uiPriority w:val="99"/>
    <w:semiHidden/>
    <w:unhideWhenUsed/>
    <w:rsid w:val="001E50B4"/>
    <w:rPr>
      <w:color w:val="0000FF"/>
      <w:u w:val="single"/>
    </w:rPr>
  </w:style>
  <w:style w:type="character" w:styleId="FollowedHyperlink">
    <w:name w:val="FollowedHyperlink"/>
    <w:basedOn w:val="DefaultParagraphFont"/>
    <w:uiPriority w:val="99"/>
    <w:semiHidden/>
    <w:unhideWhenUsed/>
    <w:rsid w:val="001E50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earning.rcgp.org.uk/course/info.php?popup=0&amp;id=17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arning.rcgp.org.uk/course/view.php?id=17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2" ma:contentTypeDescription="Create a new document." ma:contentTypeScope="" ma:versionID="85e7638665b5d5e250b78a8ce9ff559c">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17709f87be571ec87bce976b42c8a392"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4B562-A7BE-4663-9E45-9C02C86E30FA}">
  <ds:schemaRefs>
    <ds:schemaRef ds:uri="http://schemas.microsoft.com/sharepoint/v3/contenttype/forms"/>
  </ds:schemaRefs>
</ds:datastoreItem>
</file>

<file path=customXml/itemProps2.xml><?xml version="1.0" encoding="utf-8"?>
<ds:datastoreItem xmlns:ds="http://schemas.openxmlformats.org/officeDocument/2006/customXml" ds:itemID="{C3FA7F21-EF70-4ADF-A85C-64640DB7E1CD}">
  <ds:schemaRefs>
    <ds:schemaRef ds:uri="http://schemas.openxmlformats.org/officeDocument/2006/bibliography"/>
  </ds:schemaRefs>
</ds:datastoreItem>
</file>

<file path=customXml/itemProps3.xml><?xml version="1.0" encoding="utf-8"?>
<ds:datastoreItem xmlns:ds="http://schemas.openxmlformats.org/officeDocument/2006/customXml" ds:itemID="{0BBD0740-245F-4F15-B976-CF76B5B52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C1644-D79A-47AF-992D-9BCFE9C250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4198</Words>
  <Characters>23935</Characters>
  <Application>Microsoft Office Word</Application>
  <DocSecurity>0</DocSecurity>
  <Lines>199</Lines>
  <Paragraphs>56</Paragraphs>
  <ScaleCrop>false</ScaleCrop>
  <Company>London Borough Of TowerHamlets</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Khalifeh</dc:creator>
  <cp:keywords/>
  <cp:lastModifiedBy>Microsoft Office User</cp:lastModifiedBy>
  <cp:revision>2</cp:revision>
  <cp:lastPrinted>2017-09-11T20:08:00Z</cp:lastPrinted>
  <dcterms:created xsi:type="dcterms:W3CDTF">2023-03-14T12:05:00Z</dcterms:created>
  <dcterms:modified xsi:type="dcterms:W3CDTF">2023-03-14T12:05:00Z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y fmtid="{D5CDD505-2E9C-101B-9397-08002B2CF9AE}" pid="3" name="Order">
    <vt:r8>110600</vt:r8>
  </property>
</Properties>
</file>