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00" w:rsidRPr="00510DDC" w:rsidRDefault="00493300" w:rsidP="00493300">
      <w:pPr>
        <w:pStyle w:val="Heading1"/>
        <w:spacing w:line="240" w:lineRule="auto"/>
        <w:ind w:left="567" w:hanging="567"/>
        <w:jc w:val="center"/>
      </w:pPr>
      <w:r w:rsidRPr="00510DDC">
        <w:t>SCHEDULE 2 – THE SERVICES</w:t>
      </w:r>
    </w:p>
    <w:p w:rsidR="00493300" w:rsidRPr="00510DDC" w:rsidRDefault="00493300" w:rsidP="00493300">
      <w:pPr>
        <w:spacing w:after="0"/>
        <w:ind w:left="567" w:hanging="567"/>
        <w:jc w:val="center"/>
        <w:rPr>
          <w:rFonts w:ascii="Arial" w:hAnsi="Arial" w:cs="Arial"/>
          <w:b/>
          <w:sz w:val="20"/>
        </w:rPr>
      </w:pPr>
    </w:p>
    <w:p w:rsidR="00493300" w:rsidRPr="00510DDC" w:rsidRDefault="00493300" w:rsidP="00493300">
      <w:pPr>
        <w:pStyle w:val="ListParagraph"/>
        <w:numPr>
          <w:ilvl w:val="0"/>
          <w:numId w:val="1"/>
        </w:numPr>
        <w:ind w:left="567" w:hanging="567"/>
        <w:contextualSpacing/>
        <w:jc w:val="center"/>
        <w:outlineLvl w:val="1"/>
        <w:rPr>
          <w:rFonts w:ascii="Arial" w:hAnsi="Arial" w:cs="Arial"/>
          <w:b/>
        </w:rPr>
      </w:pPr>
      <w:bookmarkStart w:id="0" w:name="_Toc428907603"/>
      <w:r w:rsidRPr="00510DDC">
        <w:rPr>
          <w:rFonts w:ascii="Arial" w:hAnsi="Arial" w:cs="Arial"/>
          <w:b/>
        </w:rPr>
        <w:t>Service Specifications</w:t>
      </w:r>
      <w:bookmarkEnd w:id="0"/>
    </w:p>
    <w:p w:rsidR="00493300" w:rsidRPr="00510DDC" w:rsidRDefault="00493300" w:rsidP="00493300">
      <w:pPr>
        <w:shd w:val="clear" w:color="auto" w:fill="FFFFFF" w:themeFill="background1"/>
        <w:tabs>
          <w:tab w:val="left" w:pos="3147"/>
        </w:tabs>
        <w:spacing w:after="0"/>
        <w:jc w:val="both"/>
        <w:rPr>
          <w:rFonts w:ascii="Arial" w:hAnsi="Arial" w:cs="Arial"/>
          <w:sz w:val="20"/>
        </w:rPr>
      </w:pPr>
    </w:p>
    <w:p w:rsidR="00493300" w:rsidRDefault="00493300" w:rsidP="00493300">
      <w:pPr>
        <w:shd w:val="clear" w:color="auto" w:fill="FFFFFF" w:themeFill="background1"/>
        <w:spacing w:after="0"/>
        <w:jc w:val="both"/>
        <w:rPr>
          <w:rFonts w:ascii="Arial" w:hAnsi="Arial" w:cs="Arial"/>
          <w:sz w:val="20"/>
        </w:rPr>
      </w:pPr>
      <w:r>
        <w:rPr>
          <w:rFonts w:ascii="Arial" w:hAnsi="Arial" w:cs="Arial"/>
          <w:sz w:val="20"/>
        </w:rPr>
        <w:t>Mandatory headings 1 – 4: mandatory but detail for local determination and agreement</w:t>
      </w:r>
    </w:p>
    <w:p w:rsidR="00493300" w:rsidRDefault="00493300" w:rsidP="00493300">
      <w:pPr>
        <w:shd w:val="clear" w:color="auto" w:fill="FFFFFF" w:themeFill="background1"/>
        <w:spacing w:after="0"/>
        <w:jc w:val="both"/>
        <w:rPr>
          <w:rFonts w:ascii="Arial" w:hAnsi="Arial" w:cs="Arial"/>
          <w:sz w:val="20"/>
        </w:rPr>
      </w:pPr>
      <w:r>
        <w:rPr>
          <w:rFonts w:ascii="Arial" w:hAnsi="Arial" w:cs="Arial"/>
          <w:sz w:val="20"/>
        </w:rPr>
        <w:t>Optional headings 5-7: optional to use, detail for local determination and agreement.</w:t>
      </w:r>
    </w:p>
    <w:p w:rsidR="00493300" w:rsidRDefault="00493300" w:rsidP="00493300">
      <w:pPr>
        <w:spacing w:after="0"/>
        <w:jc w:val="both"/>
        <w:rPr>
          <w:rFonts w:ascii="Arial" w:hAnsi="Arial" w:cs="Arial"/>
          <w:sz w:val="20"/>
        </w:rPr>
      </w:pPr>
    </w:p>
    <w:p w:rsidR="00493300" w:rsidRDefault="00493300" w:rsidP="00493300">
      <w:pPr>
        <w:shd w:val="clear" w:color="auto" w:fill="FFFFFF" w:themeFill="background1"/>
        <w:spacing w:after="0"/>
        <w:jc w:val="both"/>
        <w:rPr>
          <w:rFonts w:ascii="Arial" w:hAnsi="Arial" w:cs="Arial"/>
          <w:sz w:val="20"/>
        </w:rPr>
      </w:pPr>
      <w:r>
        <w:rPr>
          <w:rFonts w:ascii="Arial" w:hAnsi="Arial" w:cs="Arial"/>
          <w:sz w:val="20"/>
        </w:rPr>
        <w:t>All subheadings for local determination and agreement</w:t>
      </w:r>
    </w:p>
    <w:p w:rsidR="00493300" w:rsidRDefault="00493300" w:rsidP="00493300">
      <w:pPr>
        <w:spacing w:after="0"/>
        <w:jc w:val="both"/>
        <w:rPr>
          <w:rFonts w:ascii="Arial" w:hAnsi="Arial" w:cs="Arial"/>
          <w:sz w:val="20"/>
        </w:rPr>
      </w:pPr>
    </w:p>
    <w:p w:rsidR="00493300" w:rsidRDefault="00493300" w:rsidP="00493300">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493300" w:rsidTr="00FC67B3">
        <w:tc>
          <w:tcPr>
            <w:tcW w:w="2970"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360" w:lineRule="auto"/>
              <w:rPr>
                <w:rFonts w:ascii="Arial" w:hAnsi="Arial" w:cs="Arial"/>
                <w:b/>
                <w:color w:val="F79646"/>
              </w:rPr>
            </w:pPr>
            <w:r>
              <w:rPr>
                <w:rFonts w:ascii="Arial" w:hAnsi="Arial" w:cs="Arial"/>
                <w:b/>
                <w:color w:val="F79646"/>
              </w:rPr>
              <w:t>Service Specification No.</w:t>
            </w:r>
          </w:p>
        </w:tc>
        <w:tc>
          <w:tcPr>
            <w:tcW w:w="5444"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rPr>
                <w:rFonts w:ascii="Arial" w:hAnsi="Arial" w:cs="Arial"/>
                <w:sz w:val="20"/>
              </w:rPr>
            </w:pPr>
          </w:p>
        </w:tc>
      </w:tr>
      <w:tr w:rsidR="00493300" w:rsidTr="00FC67B3">
        <w:tc>
          <w:tcPr>
            <w:tcW w:w="2970"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360" w:lineRule="auto"/>
              <w:rPr>
                <w:rFonts w:ascii="Arial" w:hAnsi="Arial" w:cs="Arial"/>
                <w:b/>
                <w:color w:val="F79646"/>
              </w:rPr>
            </w:pPr>
            <w:r>
              <w:rPr>
                <w:rFonts w:ascii="Arial" w:hAnsi="Arial" w:cs="Arial"/>
                <w:b/>
                <w:color w:val="F79646"/>
              </w:rPr>
              <w:t>Service</w:t>
            </w:r>
          </w:p>
        </w:tc>
        <w:tc>
          <w:tcPr>
            <w:tcW w:w="5444"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after="0"/>
              <w:rPr>
                <w:rFonts w:ascii="Arial" w:hAnsi="Arial" w:cs="Arial"/>
                <w:sz w:val="20"/>
              </w:rPr>
            </w:pPr>
            <w:r>
              <w:rPr>
                <w:rFonts w:ascii="Arial" w:hAnsi="Arial" w:cs="Arial"/>
                <w:sz w:val="20"/>
              </w:rPr>
              <w:t>Community Counselling and Commencing of Oral Anticoagulants for Atrial Fibrillation</w:t>
            </w:r>
          </w:p>
        </w:tc>
      </w:tr>
      <w:tr w:rsidR="00493300" w:rsidTr="00FC67B3">
        <w:tc>
          <w:tcPr>
            <w:tcW w:w="2970"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360" w:lineRule="auto"/>
              <w:rPr>
                <w:rFonts w:ascii="Arial" w:hAnsi="Arial" w:cs="Arial"/>
                <w:b/>
                <w:color w:val="F79646"/>
              </w:rPr>
            </w:pPr>
            <w:r>
              <w:rPr>
                <w:rFonts w:ascii="Arial" w:hAnsi="Arial" w:cs="Arial"/>
                <w:b/>
                <w:color w:val="F79646"/>
              </w:rPr>
              <w:t>Commissioner Lead</w:t>
            </w:r>
          </w:p>
        </w:tc>
        <w:tc>
          <w:tcPr>
            <w:tcW w:w="5444"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rPr>
                <w:rFonts w:ascii="Arial" w:hAnsi="Arial" w:cs="Arial"/>
                <w:sz w:val="20"/>
              </w:rPr>
            </w:pPr>
          </w:p>
        </w:tc>
      </w:tr>
      <w:tr w:rsidR="00493300" w:rsidTr="00FC67B3">
        <w:tc>
          <w:tcPr>
            <w:tcW w:w="2970"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360" w:lineRule="auto"/>
              <w:rPr>
                <w:rFonts w:ascii="Arial" w:hAnsi="Arial" w:cs="Arial"/>
                <w:b/>
                <w:color w:val="F79646"/>
              </w:rPr>
            </w:pPr>
            <w:r>
              <w:rPr>
                <w:rFonts w:ascii="Arial" w:hAnsi="Arial" w:cs="Arial"/>
                <w:b/>
                <w:color w:val="F79646"/>
              </w:rPr>
              <w:t>Provider Lead</w:t>
            </w:r>
          </w:p>
        </w:tc>
        <w:tc>
          <w:tcPr>
            <w:tcW w:w="5444"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rPr>
                <w:rFonts w:ascii="Arial" w:hAnsi="Arial" w:cs="Arial"/>
                <w:sz w:val="20"/>
              </w:rPr>
            </w:pPr>
          </w:p>
        </w:tc>
      </w:tr>
      <w:tr w:rsidR="00493300" w:rsidTr="00FC67B3">
        <w:tc>
          <w:tcPr>
            <w:tcW w:w="2970"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360" w:lineRule="auto"/>
              <w:rPr>
                <w:rFonts w:ascii="Arial" w:hAnsi="Arial" w:cs="Arial"/>
                <w:b/>
                <w:color w:val="F79646"/>
              </w:rPr>
            </w:pPr>
            <w:r>
              <w:rPr>
                <w:rFonts w:ascii="Arial" w:hAnsi="Arial" w:cs="Arial"/>
                <w:b/>
                <w:color w:val="F79646"/>
              </w:rPr>
              <w:t>Period</w:t>
            </w:r>
          </w:p>
        </w:tc>
        <w:tc>
          <w:tcPr>
            <w:tcW w:w="5444"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after="0"/>
              <w:rPr>
                <w:rFonts w:ascii="Arial" w:hAnsi="Arial" w:cs="Arial"/>
                <w:sz w:val="20"/>
              </w:rPr>
            </w:pPr>
            <w:r>
              <w:rPr>
                <w:rFonts w:ascii="Arial" w:hAnsi="Arial" w:cs="Arial"/>
                <w:sz w:val="20"/>
              </w:rPr>
              <w:t>1</w:t>
            </w:r>
            <w:r>
              <w:rPr>
                <w:rFonts w:ascii="Arial" w:hAnsi="Arial" w:cs="Arial"/>
                <w:sz w:val="20"/>
                <w:vertAlign w:val="superscript"/>
              </w:rPr>
              <w:t>st</w:t>
            </w:r>
            <w:r>
              <w:rPr>
                <w:rFonts w:ascii="Arial" w:hAnsi="Arial" w:cs="Arial"/>
                <w:sz w:val="20"/>
              </w:rPr>
              <w:t xml:space="preserve"> April 2020 – 31</w:t>
            </w:r>
            <w:r>
              <w:rPr>
                <w:rFonts w:ascii="Arial" w:hAnsi="Arial" w:cs="Arial"/>
                <w:sz w:val="20"/>
                <w:vertAlign w:val="superscript"/>
              </w:rPr>
              <w:t>st</w:t>
            </w:r>
            <w:r>
              <w:rPr>
                <w:rFonts w:ascii="Arial" w:hAnsi="Arial" w:cs="Arial"/>
                <w:sz w:val="20"/>
              </w:rPr>
              <w:t xml:space="preserve"> March 2021</w:t>
            </w:r>
          </w:p>
        </w:tc>
      </w:tr>
      <w:tr w:rsidR="00493300" w:rsidTr="00FC67B3">
        <w:tc>
          <w:tcPr>
            <w:tcW w:w="2970"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360" w:lineRule="auto"/>
              <w:rPr>
                <w:rFonts w:ascii="Arial" w:hAnsi="Arial" w:cs="Arial"/>
                <w:b/>
                <w:color w:val="F79646"/>
              </w:rPr>
            </w:pPr>
            <w:r>
              <w:rPr>
                <w:rFonts w:ascii="Arial" w:hAnsi="Arial" w:cs="Arial"/>
                <w:b/>
                <w:color w:val="F79646"/>
              </w:rPr>
              <w:t>Date of Review</w:t>
            </w:r>
          </w:p>
        </w:tc>
        <w:tc>
          <w:tcPr>
            <w:tcW w:w="5444"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rPr>
                <w:rFonts w:ascii="Arial" w:hAnsi="Arial" w:cs="Arial"/>
                <w:sz w:val="20"/>
              </w:rPr>
            </w:pPr>
          </w:p>
        </w:tc>
      </w:tr>
    </w:tbl>
    <w:p w:rsidR="00493300" w:rsidRDefault="00493300" w:rsidP="00493300">
      <w:pPr>
        <w:spacing w:after="0"/>
        <w:jc w:val="center"/>
        <w:rPr>
          <w:rFonts w:ascii="Arial" w:hAnsi="Arial" w:cs="Arial"/>
          <w:sz w:val="20"/>
        </w:rPr>
      </w:pPr>
    </w:p>
    <w:p w:rsidR="00493300" w:rsidRDefault="00493300" w:rsidP="00493300">
      <w:pPr>
        <w:spacing w:after="0"/>
        <w:jc w:val="center"/>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493300" w:rsidTr="00FC67B3">
        <w:tc>
          <w:tcPr>
            <w:tcW w:w="8556"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276" w:lineRule="auto"/>
              <w:rPr>
                <w:rFonts w:ascii="Arial" w:hAnsi="Arial" w:cs="Arial"/>
                <w:b/>
                <w:color w:val="F79646"/>
              </w:rPr>
            </w:pPr>
            <w:r>
              <w:rPr>
                <w:rFonts w:ascii="Arial" w:hAnsi="Arial" w:cs="Arial"/>
                <w:b/>
                <w:color w:val="F79646"/>
              </w:rPr>
              <w:t>1.</w:t>
            </w:r>
            <w:r>
              <w:rPr>
                <w:rFonts w:ascii="Arial" w:hAnsi="Arial" w:cs="Arial"/>
                <w:b/>
                <w:color w:val="F79646"/>
              </w:rPr>
              <w:tab/>
              <w:t>Population Needs</w:t>
            </w:r>
          </w:p>
        </w:tc>
      </w:tr>
      <w:tr w:rsidR="00493300" w:rsidTr="00FC67B3">
        <w:tc>
          <w:tcPr>
            <w:tcW w:w="8556"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ind w:left="360"/>
              <w:rPr>
                <w:rFonts w:ascii="Arial" w:hAnsi="Arial" w:cs="Arial"/>
                <w:color w:val="009966"/>
                <w:sz w:val="20"/>
              </w:rPr>
            </w:pPr>
            <w:r>
              <w:rPr>
                <w:rFonts w:ascii="Arial" w:hAnsi="Arial" w:cs="Arial"/>
                <w:color w:val="009966"/>
                <w:sz w:val="20"/>
              </w:rPr>
              <w:tab/>
            </w:r>
          </w:p>
          <w:p w:rsidR="00493300" w:rsidRDefault="00493300" w:rsidP="00493300">
            <w:pPr>
              <w:numPr>
                <w:ilvl w:val="1"/>
                <w:numId w:val="2"/>
              </w:numPr>
              <w:spacing w:after="0"/>
              <w:rPr>
                <w:rFonts w:ascii="Arial" w:hAnsi="Arial" w:cs="Arial"/>
                <w:b/>
                <w:color w:val="009966"/>
                <w:sz w:val="20"/>
              </w:rPr>
            </w:pPr>
            <w:r>
              <w:rPr>
                <w:rFonts w:ascii="Arial" w:hAnsi="Arial" w:cs="Arial"/>
                <w:b/>
                <w:color w:val="009966"/>
                <w:sz w:val="20"/>
              </w:rPr>
              <w:tab/>
              <w:t>National/local context and evidence base</w:t>
            </w:r>
          </w:p>
          <w:p w:rsidR="00493300" w:rsidRDefault="00493300" w:rsidP="00FC67B3">
            <w:pPr>
              <w:spacing w:after="0"/>
              <w:rPr>
                <w:rFonts w:ascii="Arial" w:hAnsi="Arial" w:cs="Arial"/>
                <w:color w:val="009966"/>
                <w:sz w:val="20"/>
              </w:rPr>
            </w:pPr>
          </w:p>
          <w:p w:rsidR="00493300" w:rsidRDefault="00493300" w:rsidP="00FC67B3">
            <w:pPr>
              <w:spacing w:after="0"/>
              <w:jc w:val="both"/>
              <w:rPr>
                <w:rFonts w:ascii="Arial" w:hAnsi="Arial" w:cs="Arial"/>
                <w:sz w:val="20"/>
              </w:rPr>
            </w:pPr>
            <w:proofErr w:type="spellStart"/>
            <w:r>
              <w:rPr>
                <w:rFonts w:ascii="Arial" w:hAnsi="Arial" w:cs="Arial"/>
                <w:sz w:val="20"/>
              </w:rPr>
              <w:t>Newham</w:t>
            </w:r>
            <w:proofErr w:type="spellEnd"/>
            <w:r>
              <w:rPr>
                <w:rFonts w:ascii="Arial" w:hAnsi="Arial" w:cs="Arial"/>
                <w:sz w:val="20"/>
              </w:rPr>
              <w:t xml:space="preserve"> CCGs vision for health care is based upon improving services and the experience of those services (especially those that are community based), focusing on health inequalities and patients and public engagement.  There is a deep rooted foundation to our vision in </w:t>
            </w:r>
            <w:proofErr w:type="spellStart"/>
            <w:r>
              <w:rPr>
                <w:rFonts w:ascii="Arial" w:hAnsi="Arial" w:cs="Arial"/>
                <w:sz w:val="20"/>
              </w:rPr>
              <w:t>Newham</w:t>
            </w:r>
            <w:proofErr w:type="spellEnd"/>
            <w:r>
              <w:rPr>
                <w:rFonts w:ascii="Arial" w:hAnsi="Arial" w:cs="Arial"/>
                <w:sz w:val="20"/>
              </w:rPr>
              <w:t xml:space="preserve"> - the ‘Golden Thread’. It is the statement of intent that will ensure our energies and approach to health care commissioning are all moving in the same direction in order to achieve the maximum results.  The ‘Golden Thread’ is about integrating care so that care for patients, especially those with long term conditions, is better coordinated, of a higher quality and patient centered. </w:t>
            </w:r>
          </w:p>
          <w:p w:rsidR="00493300" w:rsidRDefault="00493300" w:rsidP="00FC67B3">
            <w:pPr>
              <w:spacing w:after="0"/>
              <w:jc w:val="both"/>
              <w:rPr>
                <w:rFonts w:ascii="Arial" w:hAnsi="Arial" w:cs="Arial"/>
                <w:sz w:val="20"/>
              </w:rPr>
            </w:pPr>
          </w:p>
          <w:p w:rsidR="00493300" w:rsidRDefault="00493300" w:rsidP="00FC67B3">
            <w:pPr>
              <w:rPr>
                <w:rFonts w:ascii="Arial" w:hAnsi="Arial" w:cs="Arial"/>
                <w:sz w:val="20"/>
              </w:rPr>
            </w:pPr>
            <w:r>
              <w:rPr>
                <w:rFonts w:ascii="Arial" w:hAnsi="Arial" w:cs="Arial"/>
                <w:sz w:val="20"/>
              </w:rPr>
              <w:t>Nationally there is a focus on prevention of stroke to include management of atrial fibrillation via NICE guidelines and Department of Health directives. (DOH, All Party Parliamentary Group).</w:t>
            </w:r>
          </w:p>
          <w:p w:rsidR="00493300" w:rsidRDefault="00493300" w:rsidP="00FC67B3">
            <w:pPr>
              <w:rPr>
                <w:rFonts w:ascii="Arial" w:hAnsi="Arial" w:cs="Arial"/>
                <w:sz w:val="20"/>
              </w:rPr>
            </w:pPr>
            <w:r>
              <w:rPr>
                <w:rFonts w:ascii="Arial" w:hAnsi="Arial" w:cs="Arial"/>
                <w:sz w:val="20"/>
              </w:rPr>
              <w:t>Currently AF-related stroke costs the UK economy over £2bn and £485m is spent in acute care for AF-related stroke.</w:t>
            </w:r>
          </w:p>
          <w:p w:rsidR="00493300" w:rsidRDefault="00493300" w:rsidP="00FC67B3">
            <w:pPr>
              <w:rPr>
                <w:rFonts w:ascii="Arial" w:hAnsi="Arial" w:cs="Arial"/>
                <w:sz w:val="20"/>
              </w:rPr>
            </w:pPr>
            <w:r>
              <w:rPr>
                <w:rFonts w:ascii="Arial" w:hAnsi="Arial" w:cs="Arial"/>
                <w:sz w:val="20"/>
              </w:rPr>
              <w:t xml:space="preserve">The NICE guidance for atrial fibrillation (2014) clearly outlines the importance of </w:t>
            </w:r>
          </w:p>
          <w:p w:rsidR="00493300" w:rsidRDefault="00493300" w:rsidP="00493300">
            <w:pPr>
              <w:pStyle w:val="ListParagraph"/>
              <w:numPr>
                <w:ilvl w:val="0"/>
                <w:numId w:val="3"/>
              </w:numPr>
              <w:rPr>
                <w:rFonts w:ascii="Arial" w:hAnsi="Arial" w:cs="Arial"/>
                <w:sz w:val="20"/>
                <w:lang w:eastAsia="ja-JP"/>
              </w:rPr>
            </w:pPr>
            <w:r>
              <w:rPr>
                <w:rFonts w:ascii="Arial" w:hAnsi="Arial" w:cs="Arial"/>
                <w:sz w:val="20"/>
                <w:lang w:eastAsia="ja-JP"/>
              </w:rPr>
              <w:t xml:space="preserve">Individual, personalised packages of care. </w:t>
            </w:r>
          </w:p>
          <w:p w:rsidR="00493300" w:rsidRDefault="00493300" w:rsidP="00493300">
            <w:pPr>
              <w:pStyle w:val="ListParagraph"/>
              <w:numPr>
                <w:ilvl w:val="0"/>
                <w:numId w:val="3"/>
              </w:numPr>
              <w:rPr>
                <w:rFonts w:ascii="Arial" w:hAnsi="Arial" w:cs="Arial"/>
                <w:sz w:val="20"/>
                <w:lang w:eastAsia="ja-JP"/>
              </w:rPr>
            </w:pPr>
            <w:r>
              <w:rPr>
                <w:rFonts w:ascii="Arial" w:hAnsi="Arial" w:cs="Arial"/>
                <w:sz w:val="20"/>
                <w:lang w:eastAsia="ja-JP"/>
              </w:rPr>
              <w:t xml:space="preserve">Stroke prevention risk analysis </w:t>
            </w:r>
          </w:p>
          <w:p w:rsidR="00493300" w:rsidRDefault="00493300" w:rsidP="00493300">
            <w:pPr>
              <w:pStyle w:val="ListParagraph"/>
              <w:numPr>
                <w:ilvl w:val="0"/>
                <w:numId w:val="3"/>
              </w:numPr>
              <w:rPr>
                <w:rFonts w:ascii="Arial" w:hAnsi="Arial" w:cs="Arial"/>
                <w:sz w:val="20"/>
                <w:lang w:eastAsia="ja-JP"/>
              </w:rPr>
            </w:pPr>
            <w:r>
              <w:rPr>
                <w:rFonts w:ascii="Arial" w:hAnsi="Arial" w:cs="Arial"/>
                <w:sz w:val="20"/>
                <w:lang w:eastAsia="ja-JP"/>
              </w:rPr>
              <w:t xml:space="preserve">Appropriate use of anticoagulant therapies </w:t>
            </w:r>
          </w:p>
          <w:p w:rsidR="00493300" w:rsidRDefault="00493300" w:rsidP="00FC67B3">
            <w:pPr>
              <w:rPr>
                <w:rFonts w:ascii="Arial" w:hAnsi="Arial" w:cs="Arial"/>
                <w:sz w:val="20"/>
              </w:rPr>
            </w:pPr>
          </w:p>
          <w:p w:rsidR="00493300" w:rsidRDefault="00493300" w:rsidP="00FC67B3">
            <w:pPr>
              <w:rPr>
                <w:rFonts w:ascii="Arial" w:hAnsi="Arial" w:cs="Arial"/>
                <w:sz w:val="20"/>
              </w:rPr>
            </w:pPr>
            <w:r>
              <w:rPr>
                <w:rFonts w:ascii="Arial" w:hAnsi="Arial" w:cs="Arial"/>
                <w:sz w:val="20"/>
              </w:rPr>
              <w:t>This is further underpinned by the NICE Implementation Collaborative Consensus (2014) which states the importance of using the most appropriate anticoagulant that should include shared decision making with individual patients being informed and actively involved.</w:t>
            </w:r>
          </w:p>
          <w:p w:rsidR="00493300" w:rsidRDefault="00493300" w:rsidP="00FC67B3">
            <w:pPr>
              <w:rPr>
                <w:rFonts w:ascii="Arial" w:hAnsi="Arial" w:cs="Arial"/>
                <w:sz w:val="20"/>
              </w:rPr>
            </w:pPr>
            <w:r>
              <w:rPr>
                <w:rFonts w:ascii="Arial" w:hAnsi="Arial" w:cs="Arial"/>
                <w:sz w:val="20"/>
              </w:rPr>
              <w:t>The counseling and clinical management of patients on anticoagulant therapy will adhere to the most recent national and local guidelines, including those from:</w:t>
            </w:r>
          </w:p>
          <w:p w:rsidR="00493300" w:rsidRDefault="00493300" w:rsidP="00493300">
            <w:pPr>
              <w:pStyle w:val="ListParagraph"/>
              <w:numPr>
                <w:ilvl w:val="0"/>
                <w:numId w:val="4"/>
              </w:numPr>
              <w:rPr>
                <w:rFonts w:ascii="Arial" w:hAnsi="Arial" w:cs="Arial"/>
                <w:sz w:val="20"/>
                <w:lang w:eastAsia="ja-JP"/>
              </w:rPr>
            </w:pPr>
            <w:r>
              <w:rPr>
                <w:rFonts w:ascii="Arial" w:hAnsi="Arial" w:cs="Arial"/>
                <w:sz w:val="20"/>
                <w:lang w:eastAsia="ja-JP"/>
              </w:rPr>
              <w:t>British Committees of Haematology(BCSH)</w:t>
            </w:r>
          </w:p>
          <w:p w:rsidR="00493300" w:rsidRDefault="00493300" w:rsidP="00493300">
            <w:pPr>
              <w:pStyle w:val="ListParagraph"/>
              <w:numPr>
                <w:ilvl w:val="0"/>
                <w:numId w:val="4"/>
              </w:numPr>
              <w:rPr>
                <w:rFonts w:ascii="Arial" w:hAnsi="Arial" w:cs="Arial"/>
                <w:sz w:val="20"/>
                <w:lang w:eastAsia="ja-JP"/>
              </w:rPr>
            </w:pPr>
            <w:r>
              <w:rPr>
                <w:rFonts w:ascii="Arial" w:hAnsi="Arial" w:cs="Arial"/>
                <w:sz w:val="20"/>
                <w:lang w:eastAsia="ja-JP"/>
              </w:rPr>
              <w:lastRenderedPageBreak/>
              <w:t>NICE Guidance</w:t>
            </w:r>
          </w:p>
          <w:p w:rsidR="00493300" w:rsidRDefault="00493300" w:rsidP="00493300">
            <w:pPr>
              <w:pStyle w:val="ListParagraph"/>
              <w:numPr>
                <w:ilvl w:val="0"/>
                <w:numId w:val="4"/>
              </w:numPr>
              <w:rPr>
                <w:rFonts w:ascii="Arial" w:hAnsi="Arial" w:cs="Arial"/>
                <w:sz w:val="20"/>
                <w:lang w:eastAsia="ja-JP"/>
              </w:rPr>
            </w:pPr>
            <w:r>
              <w:rPr>
                <w:rFonts w:ascii="Arial" w:hAnsi="Arial" w:cs="Arial"/>
                <w:sz w:val="20"/>
                <w:lang w:eastAsia="ja-JP"/>
              </w:rPr>
              <w:t>National Patient Safety Agency(NPSA)</w:t>
            </w:r>
          </w:p>
          <w:p w:rsidR="00493300" w:rsidRDefault="00493300" w:rsidP="00FC67B3">
            <w:pPr>
              <w:rPr>
                <w:rFonts w:ascii="Arial" w:hAnsi="Arial" w:cs="Arial"/>
                <w:sz w:val="20"/>
              </w:rPr>
            </w:pPr>
          </w:p>
          <w:p w:rsidR="00493300" w:rsidRDefault="00493300" w:rsidP="00FC67B3">
            <w:pPr>
              <w:rPr>
                <w:rFonts w:ascii="Arial" w:hAnsi="Arial" w:cs="Arial"/>
                <w:sz w:val="20"/>
              </w:rPr>
            </w:pPr>
            <w:r>
              <w:rPr>
                <w:rFonts w:ascii="Arial" w:hAnsi="Arial" w:cs="Arial"/>
                <w:b/>
                <w:sz w:val="20"/>
              </w:rPr>
              <w:t>All anticoagulant related services should be commissioned in line with the NICE guidance on ‘Support for Commissioning: Anticoagulant therapy, Published May 2013</w:t>
            </w:r>
            <w:r>
              <w:rPr>
                <w:rFonts w:ascii="Arial" w:hAnsi="Arial" w:cs="Arial"/>
                <w:sz w:val="20"/>
              </w:rPr>
              <w:t xml:space="preserve"> </w:t>
            </w:r>
            <w:hyperlink r:id="rId5" w:history="1">
              <w:r>
                <w:rPr>
                  <w:rStyle w:val="Hyperlink"/>
                  <w:rFonts w:ascii="Arial" w:hAnsi="Arial" w:cs="Arial"/>
                  <w:sz w:val="20"/>
                </w:rPr>
                <w:t>http://nice.org.uk/guidance/cmg49</w:t>
              </w:r>
            </w:hyperlink>
          </w:p>
          <w:p w:rsidR="00493300" w:rsidRDefault="00493300" w:rsidP="00493300">
            <w:pPr>
              <w:numPr>
                <w:ilvl w:val="1"/>
                <w:numId w:val="2"/>
              </w:numPr>
              <w:spacing w:after="0"/>
              <w:rPr>
                <w:rFonts w:ascii="Arial" w:hAnsi="Arial" w:cs="Arial"/>
                <w:b/>
                <w:color w:val="009966"/>
                <w:sz w:val="20"/>
              </w:rPr>
            </w:pPr>
            <w:r>
              <w:rPr>
                <w:rFonts w:ascii="Arial" w:hAnsi="Arial" w:cs="Arial"/>
                <w:b/>
                <w:color w:val="009966"/>
                <w:sz w:val="20"/>
              </w:rPr>
              <w:t>Local Context</w:t>
            </w:r>
          </w:p>
          <w:p w:rsidR="00493300" w:rsidRDefault="00493300" w:rsidP="00FC67B3">
            <w:pPr>
              <w:spacing w:after="0"/>
              <w:rPr>
                <w:rFonts w:ascii="Arial" w:hAnsi="Arial" w:cs="Arial"/>
                <w:b/>
                <w:color w:val="009966"/>
                <w:sz w:val="20"/>
              </w:rPr>
            </w:pPr>
          </w:p>
          <w:p w:rsidR="00493300" w:rsidRDefault="00493300" w:rsidP="00FC67B3">
            <w:pPr>
              <w:rPr>
                <w:rFonts w:ascii="Arial" w:hAnsi="Arial" w:cs="Arial"/>
                <w:sz w:val="20"/>
              </w:rPr>
            </w:pPr>
            <w:proofErr w:type="spellStart"/>
            <w:r>
              <w:rPr>
                <w:rFonts w:ascii="Arial" w:hAnsi="Arial" w:cs="Arial"/>
                <w:sz w:val="20"/>
              </w:rPr>
              <w:t>Newham</w:t>
            </w:r>
            <w:proofErr w:type="spellEnd"/>
            <w:r>
              <w:rPr>
                <w:rFonts w:ascii="Arial" w:hAnsi="Arial" w:cs="Arial"/>
                <w:sz w:val="20"/>
              </w:rPr>
              <w:t xml:space="preserve"> has a high number of potentially undiagnosed cases of AF combined with high emergency admissions for stroke and very high lengths of stay. Currently it is estimated that nationally 46% of AF patients who would benefit from anticoagulation are not receiving it and </w:t>
            </w:r>
            <w:proofErr w:type="spellStart"/>
            <w:r>
              <w:rPr>
                <w:rFonts w:ascii="Arial" w:hAnsi="Arial" w:cs="Arial"/>
                <w:sz w:val="20"/>
              </w:rPr>
              <w:t>Newham</w:t>
            </w:r>
            <w:proofErr w:type="spellEnd"/>
            <w:r>
              <w:rPr>
                <w:rFonts w:ascii="Arial" w:hAnsi="Arial" w:cs="Arial"/>
                <w:sz w:val="20"/>
              </w:rPr>
              <w:t xml:space="preserve"> is no exception.</w:t>
            </w:r>
          </w:p>
          <w:p w:rsidR="00493300" w:rsidRDefault="00493300" w:rsidP="00FC67B3">
            <w:pPr>
              <w:spacing w:after="0"/>
              <w:jc w:val="both"/>
              <w:rPr>
                <w:rFonts w:ascii="Arial" w:hAnsi="Arial" w:cs="Arial"/>
                <w:spacing w:val="-1"/>
                <w:sz w:val="20"/>
              </w:rPr>
            </w:pPr>
            <w:r>
              <w:rPr>
                <w:rFonts w:ascii="Arial" w:hAnsi="Arial" w:cs="Arial"/>
                <w:spacing w:val="-1"/>
                <w:sz w:val="20"/>
              </w:rPr>
              <w:t xml:space="preserve">Clinical management of patients on oral anticoagulant therapy in </w:t>
            </w:r>
            <w:proofErr w:type="spellStart"/>
            <w:r>
              <w:rPr>
                <w:rFonts w:ascii="Arial" w:hAnsi="Arial" w:cs="Arial"/>
                <w:spacing w:val="-1"/>
                <w:sz w:val="20"/>
              </w:rPr>
              <w:t>Newham</w:t>
            </w:r>
            <w:proofErr w:type="spellEnd"/>
            <w:r>
              <w:rPr>
                <w:rFonts w:ascii="Arial" w:hAnsi="Arial" w:cs="Arial"/>
                <w:spacing w:val="-1"/>
                <w:sz w:val="20"/>
              </w:rPr>
              <w:t xml:space="preserve"> is well-established as an Integrated clinical pathway with the counseling and initiation of treatment commenced by the acute specialist team. Patients on warfarin (a vitamin K antagonist) are then transferred out to the specialist community pharmacy service, a collaborative approach has allowed specialist support and up skilling from the acute team. This has allowed for further development of the community service to manage more complex cases to include patients at the beginning of their treatment pathway who are unable to access acute clinics.</w:t>
            </w:r>
          </w:p>
          <w:p w:rsidR="00493300" w:rsidRDefault="00493300" w:rsidP="00FC67B3">
            <w:pPr>
              <w:spacing w:after="0"/>
              <w:jc w:val="both"/>
              <w:rPr>
                <w:rFonts w:ascii="Arial" w:hAnsi="Arial" w:cs="Arial"/>
                <w:spacing w:val="-1"/>
                <w:sz w:val="20"/>
              </w:rPr>
            </w:pPr>
            <w:r>
              <w:rPr>
                <w:rFonts w:ascii="Arial" w:hAnsi="Arial" w:cs="Arial"/>
                <w:spacing w:val="-1"/>
                <w:sz w:val="20"/>
              </w:rPr>
              <w:t>More recently patients commencing on NOAC’s (novel oral anticoagulants) are also counseled, initiated and managed by the acute specialist team for the first weeks. They are then referred for ongoing management to their general practitioner.</w:t>
            </w:r>
          </w:p>
          <w:p w:rsidR="00493300" w:rsidRDefault="00493300" w:rsidP="00FC67B3">
            <w:pPr>
              <w:spacing w:after="0"/>
              <w:jc w:val="both"/>
              <w:rPr>
                <w:rFonts w:ascii="Arial" w:hAnsi="Arial" w:cs="Arial"/>
                <w:spacing w:val="-1"/>
                <w:sz w:val="20"/>
              </w:rPr>
            </w:pPr>
          </w:p>
          <w:p w:rsidR="00493300" w:rsidRDefault="00493300" w:rsidP="00FC67B3">
            <w:pPr>
              <w:spacing w:after="0"/>
              <w:jc w:val="both"/>
              <w:rPr>
                <w:rFonts w:ascii="Arial" w:hAnsi="Arial" w:cs="Arial"/>
                <w:spacing w:val="-1"/>
                <w:sz w:val="20"/>
              </w:rPr>
            </w:pPr>
            <w:r>
              <w:rPr>
                <w:rFonts w:ascii="Arial" w:hAnsi="Arial" w:cs="Arial"/>
                <w:spacing w:val="-1"/>
                <w:sz w:val="20"/>
              </w:rPr>
              <w:t>The local proposal for an extended primary care service (EPCS) for the identification and treatment of atrial fibrillation will need specialist support to deliver counseling and initiation of oral anticoagulants therapies.</w:t>
            </w:r>
          </w:p>
          <w:p w:rsidR="00493300" w:rsidRDefault="00493300" w:rsidP="00FC67B3">
            <w:pPr>
              <w:spacing w:after="0"/>
              <w:rPr>
                <w:rFonts w:ascii="Arial" w:hAnsi="Arial" w:cs="Arial"/>
                <w:color w:val="009966"/>
                <w:sz w:val="20"/>
              </w:rPr>
            </w:pPr>
          </w:p>
          <w:p w:rsidR="00493300" w:rsidRDefault="00493300" w:rsidP="00FC67B3">
            <w:pPr>
              <w:spacing w:after="0"/>
              <w:rPr>
                <w:rFonts w:ascii="Arial" w:hAnsi="Arial" w:cs="Arial"/>
                <w:color w:val="009966"/>
                <w:sz w:val="20"/>
              </w:rPr>
            </w:pPr>
          </w:p>
        </w:tc>
      </w:tr>
      <w:tr w:rsidR="00493300" w:rsidTr="00FC67B3">
        <w:tc>
          <w:tcPr>
            <w:tcW w:w="8556"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276" w:lineRule="auto"/>
              <w:rPr>
                <w:rFonts w:ascii="Arial" w:hAnsi="Arial" w:cs="Arial"/>
                <w:b/>
                <w:color w:val="F79646"/>
              </w:rPr>
            </w:pPr>
            <w:r>
              <w:rPr>
                <w:rFonts w:ascii="Arial" w:hAnsi="Arial" w:cs="Arial"/>
                <w:b/>
                <w:color w:val="F79646"/>
              </w:rPr>
              <w:lastRenderedPageBreak/>
              <w:t>2.</w:t>
            </w:r>
            <w:r>
              <w:rPr>
                <w:rFonts w:ascii="Arial" w:hAnsi="Arial" w:cs="Arial"/>
                <w:b/>
                <w:color w:val="F79646"/>
              </w:rPr>
              <w:tab/>
              <w:t>Outcomes</w:t>
            </w:r>
          </w:p>
        </w:tc>
      </w:tr>
      <w:tr w:rsidR="00493300" w:rsidTr="00FC67B3">
        <w:tc>
          <w:tcPr>
            <w:tcW w:w="8556" w:type="dxa"/>
            <w:tcBorders>
              <w:top w:val="single" w:sz="4" w:space="0" w:color="auto"/>
              <w:left w:val="single" w:sz="4" w:space="0" w:color="auto"/>
              <w:bottom w:val="single" w:sz="4" w:space="0" w:color="auto"/>
              <w:right w:val="single" w:sz="4" w:space="0" w:color="auto"/>
            </w:tcBorders>
            <w:shd w:val="clear" w:color="auto" w:fill="FFFFFF" w:themeFill="background1"/>
          </w:tcPr>
          <w:p w:rsidR="00493300" w:rsidRDefault="00493300" w:rsidP="00FC67B3">
            <w:pPr>
              <w:spacing w:after="0" w:line="276" w:lineRule="auto"/>
              <w:rPr>
                <w:rFonts w:ascii="Arial" w:hAnsi="Arial" w:cs="Arial"/>
                <w:b/>
                <w:sz w:val="20"/>
              </w:rPr>
            </w:pPr>
          </w:p>
          <w:p w:rsidR="00493300" w:rsidRDefault="00493300" w:rsidP="00FC67B3">
            <w:pPr>
              <w:spacing w:after="0" w:line="276" w:lineRule="auto"/>
              <w:rPr>
                <w:rFonts w:ascii="Arial" w:hAnsi="Arial" w:cs="Arial"/>
                <w:b/>
                <w:color w:val="00B050"/>
                <w:sz w:val="20"/>
              </w:rPr>
            </w:pPr>
            <w:r>
              <w:rPr>
                <w:rFonts w:ascii="Arial" w:hAnsi="Arial" w:cs="Arial"/>
                <w:b/>
                <w:color w:val="00B050"/>
                <w:sz w:val="20"/>
              </w:rPr>
              <w:t>2.1</w:t>
            </w:r>
            <w:r>
              <w:rPr>
                <w:rFonts w:ascii="Arial" w:hAnsi="Arial" w:cs="Arial"/>
                <w:b/>
                <w:color w:val="00B050"/>
                <w:sz w:val="20"/>
              </w:rPr>
              <w:tab/>
              <w:t>NHS Outcomes Framework Domains &amp; Indicators</w:t>
            </w:r>
          </w:p>
          <w:p w:rsidR="00493300" w:rsidRDefault="00493300" w:rsidP="00FC67B3">
            <w:pPr>
              <w:spacing w:after="0" w:line="276" w:lineRule="auto"/>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76"/>
              <w:gridCol w:w="5528"/>
              <w:gridCol w:w="641"/>
            </w:tblGrid>
            <w:tr w:rsidR="00493300" w:rsidTr="00FC67B3">
              <w:tc>
                <w:tcPr>
                  <w:tcW w:w="1276"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Domain 1</w:t>
                  </w:r>
                </w:p>
              </w:tc>
              <w:tc>
                <w:tcPr>
                  <w:tcW w:w="5528"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x</w:t>
                  </w:r>
                </w:p>
              </w:tc>
            </w:tr>
            <w:tr w:rsidR="00493300" w:rsidTr="00FC67B3">
              <w:tc>
                <w:tcPr>
                  <w:tcW w:w="1276"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Domain 2</w:t>
                  </w:r>
                </w:p>
              </w:tc>
              <w:tc>
                <w:tcPr>
                  <w:tcW w:w="5528"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x</w:t>
                  </w:r>
                </w:p>
              </w:tc>
            </w:tr>
            <w:tr w:rsidR="00493300" w:rsidTr="00FC67B3">
              <w:tc>
                <w:tcPr>
                  <w:tcW w:w="1276"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Domain 3</w:t>
                  </w:r>
                </w:p>
              </w:tc>
              <w:tc>
                <w:tcPr>
                  <w:tcW w:w="5528"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tcPr>
                <w:p w:rsidR="00493300" w:rsidRDefault="00493300" w:rsidP="00FC67B3">
                  <w:pPr>
                    <w:spacing w:line="276" w:lineRule="auto"/>
                    <w:rPr>
                      <w:rFonts w:ascii="Arial" w:hAnsi="Arial" w:cs="Arial"/>
                      <w:b/>
                      <w:sz w:val="20"/>
                    </w:rPr>
                  </w:pPr>
                </w:p>
              </w:tc>
            </w:tr>
            <w:tr w:rsidR="00493300" w:rsidTr="00FC67B3">
              <w:tc>
                <w:tcPr>
                  <w:tcW w:w="1276"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Domain 4</w:t>
                  </w:r>
                </w:p>
              </w:tc>
              <w:tc>
                <w:tcPr>
                  <w:tcW w:w="5528"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x</w:t>
                  </w:r>
                </w:p>
              </w:tc>
            </w:tr>
            <w:tr w:rsidR="00493300" w:rsidTr="00FC67B3">
              <w:tc>
                <w:tcPr>
                  <w:tcW w:w="1276"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Domain 5</w:t>
                  </w:r>
                </w:p>
              </w:tc>
              <w:tc>
                <w:tcPr>
                  <w:tcW w:w="5528"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hideMark/>
                </w:tcPr>
                <w:p w:rsidR="00493300" w:rsidRDefault="00493300" w:rsidP="00FC67B3">
                  <w:pPr>
                    <w:spacing w:line="276" w:lineRule="auto"/>
                    <w:rPr>
                      <w:rFonts w:ascii="Arial" w:hAnsi="Arial" w:cs="Arial"/>
                      <w:b/>
                      <w:sz w:val="20"/>
                    </w:rPr>
                  </w:pPr>
                  <w:r>
                    <w:rPr>
                      <w:rFonts w:ascii="Arial" w:hAnsi="Arial" w:cs="Arial"/>
                      <w:b/>
                      <w:sz w:val="20"/>
                    </w:rPr>
                    <w:t>x</w:t>
                  </w:r>
                </w:p>
              </w:tc>
            </w:tr>
          </w:tbl>
          <w:p w:rsidR="00493300" w:rsidRDefault="00493300" w:rsidP="00FC67B3">
            <w:pPr>
              <w:spacing w:after="0" w:line="276" w:lineRule="auto"/>
              <w:rPr>
                <w:rFonts w:ascii="Arial" w:hAnsi="Arial" w:cs="Arial"/>
                <w:b/>
                <w:color w:val="00B050"/>
                <w:sz w:val="20"/>
              </w:rPr>
            </w:pPr>
          </w:p>
          <w:p w:rsidR="00493300" w:rsidRDefault="00493300" w:rsidP="00FC67B3">
            <w:pPr>
              <w:spacing w:after="0" w:line="276" w:lineRule="auto"/>
              <w:rPr>
                <w:rFonts w:ascii="Arial" w:hAnsi="Arial" w:cs="Arial"/>
                <w:b/>
                <w:color w:val="00B050"/>
                <w:sz w:val="20"/>
              </w:rPr>
            </w:pPr>
            <w:r>
              <w:rPr>
                <w:rFonts w:ascii="Arial" w:hAnsi="Arial" w:cs="Arial"/>
                <w:b/>
                <w:color w:val="00B050"/>
                <w:sz w:val="20"/>
              </w:rPr>
              <w:t>2.2</w:t>
            </w:r>
            <w:r>
              <w:rPr>
                <w:rFonts w:ascii="Arial" w:hAnsi="Arial" w:cs="Arial"/>
                <w:b/>
                <w:color w:val="00B050"/>
                <w:sz w:val="20"/>
              </w:rPr>
              <w:tab/>
              <w:t>Local defined outcomes</w:t>
            </w:r>
          </w:p>
          <w:p w:rsidR="00493300" w:rsidRDefault="00493300" w:rsidP="00FC67B3">
            <w:pPr>
              <w:spacing w:after="0" w:line="276" w:lineRule="auto"/>
              <w:rPr>
                <w:rFonts w:ascii="Arial" w:hAnsi="Arial" w:cs="Arial"/>
                <w:b/>
                <w:color w:val="00B050"/>
                <w:sz w:val="20"/>
              </w:rPr>
            </w:pPr>
          </w:p>
          <w:p w:rsidR="00493300" w:rsidRDefault="00493300" w:rsidP="00FC67B3">
            <w:pPr>
              <w:spacing w:after="0" w:line="276" w:lineRule="auto"/>
              <w:rPr>
                <w:rFonts w:ascii="Arial" w:hAnsi="Arial" w:cs="Arial"/>
                <w:b/>
                <w:color w:val="00B050"/>
                <w:sz w:val="20"/>
              </w:rPr>
            </w:pPr>
          </w:p>
          <w:p w:rsidR="00493300" w:rsidRDefault="00493300" w:rsidP="00FC67B3">
            <w:pPr>
              <w:spacing w:after="0" w:line="276" w:lineRule="auto"/>
              <w:rPr>
                <w:rFonts w:ascii="Arial" w:hAnsi="Arial" w:cs="Arial"/>
                <w:sz w:val="20"/>
              </w:rPr>
            </w:pPr>
            <w:proofErr w:type="spellStart"/>
            <w:r>
              <w:rPr>
                <w:rFonts w:ascii="Arial" w:hAnsi="Arial" w:cs="Arial"/>
                <w:sz w:val="20"/>
              </w:rPr>
              <w:t>Newham</w:t>
            </w:r>
            <w:proofErr w:type="spellEnd"/>
            <w:r>
              <w:rPr>
                <w:rFonts w:ascii="Arial" w:hAnsi="Arial" w:cs="Arial"/>
                <w:sz w:val="20"/>
              </w:rPr>
              <w:t xml:space="preserve"> CCG’s strategic priorities are to enhance the quality of life for people with long term conditions and address health inequalities; this includes the shift to manage long term conditions within the community setting.</w:t>
            </w:r>
          </w:p>
          <w:p w:rsidR="00493300" w:rsidRDefault="00493300" w:rsidP="00FC67B3">
            <w:pPr>
              <w:spacing w:after="0" w:line="276" w:lineRule="auto"/>
              <w:rPr>
                <w:rFonts w:ascii="Arial" w:hAnsi="Arial" w:cs="Arial"/>
                <w:b/>
                <w:color w:val="F79646"/>
                <w:sz w:val="20"/>
              </w:rPr>
            </w:pPr>
          </w:p>
          <w:p w:rsidR="00493300" w:rsidRDefault="00493300" w:rsidP="00FC67B3">
            <w:pPr>
              <w:spacing w:after="0" w:line="276" w:lineRule="auto"/>
              <w:rPr>
                <w:rFonts w:ascii="Arial" w:hAnsi="Arial" w:cs="Arial"/>
                <w:b/>
                <w:color w:val="F79646"/>
                <w:sz w:val="20"/>
              </w:rPr>
            </w:pPr>
          </w:p>
        </w:tc>
      </w:tr>
      <w:tr w:rsidR="00493300" w:rsidTr="00FC67B3">
        <w:tc>
          <w:tcPr>
            <w:tcW w:w="8556"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276" w:lineRule="auto"/>
              <w:rPr>
                <w:rFonts w:ascii="Arial" w:hAnsi="Arial" w:cs="Arial"/>
                <w:b/>
                <w:color w:val="F79646"/>
              </w:rPr>
            </w:pPr>
            <w:r>
              <w:rPr>
                <w:rFonts w:ascii="Arial" w:hAnsi="Arial" w:cs="Arial"/>
                <w:b/>
                <w:color w:val="F79646"/>
              </w:rPr>
              <w:lastRenderedPageBreak/>
              <w:t>3.</w:t>
            </w:r>
            <w:r>
              <w:rPr>
                <w:rFonts w:ascii="Arial" w:hAnsi="Arial" w:cs="Arial"/>
                <w:b/>
                <w:color w:val="F79646"/>
              </w:rPr>
              <w:tab/>
              <w:t>Scope</w:t>
            </w:r>
          </w:p>
        </w:tc>
      </w:tr>
      <w:tr w:rsidR="00493300" w:rsidTr="00FC67B3">
        <w:tc>
          <w:tcPr>
            <w:tcW w:w="8556"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rPr>
                <w:rFonts w:ascii="Arial" w:hAnsi="Arial" w:cs="Arial"/>
                <w:sz w:val="20"/>
              </w:rPr>
            </w:pPr>
          </w:p>
          <w:p w:rsidR="00493300" w:rsidRDefault="00493300" w:rsidP="00FC67B3">
            <w:pPr>
              <w:spacing w:after="0"/>
              <w:rPr>
                <w:rFonts w:ascii="Arial" w:hAnsi="Arial" w:cs="Arial"/>
                <w:b/>
                <w:color w:val="009966"/>
                <w:sz w:val="20"/>
              </w:rPr>
            </w:pPr>
            <w:r>
              <w:rPr>
                <w:rFonts w:ascii="Arial" w:hAnsi="Arial" w:cs="Arial"/>
                <w:b/>
                <w:color w:val="009966"/>
                <w:sz w:val="20"/>
              </w:rPr>
              <w:t>3.1</w:t>
            </w:r>
            <w:r>
              <w:rPr>
                <w:rFonts w:ascii="Arial" w:hAnsi="Arial" w:cs="Arial"/>
                <w:b/>
                <w:color w:val="009966"/>
                <w:sz w:val="20"/>
              </w:rPr>
              <w:tab/>
              <w:t>Aims and objectives of service</w:t>
            </w:r>
          </w:p>
          <w:p w:rsidR="00493300" w:rsidRDefault="00493300" w:rsidP="00FC67B3">
            <w:pPr>
              <w:spacing w:after="0"/>
              <w:rPr>
                <w:rFonts w:ascii="Arial" w:hAnsi="Arial" w:cs="Arial"/>
                <w:color w:val="009966"/>
                <w:sz w:val="20"/>
              </w:rPr>
            </w:pPr>
          </w:p>
          <w:p w:rsidR="00493300" w:rsidRDefault="00493300" w:rsidP="00FC67B3">
            <w:pPr>
              <w:spacing w:after="0"/>
              <w:rPr>
                <w:rFonts w:ascii="Arial" w:hAnsi="Arial" w:cs="Arial"/>
                <w:sz w:val="20"/>
              </w:rPr>
            </w:pPr>
            <w:r>
              <w:rPr>
                <w:rFonts w:ascii="Arial" w:hAnsi="Arial" w:cs="Arial"/>
                <w:sz w:val="20"/>
              </w:rPr>
              <w:t>The aims of this service are to:</w:t>
            </w:r>
          </w:p>
          <w:p w:rsidR="00493300" w:rsidRDefault="00493300" w:rsidP="00FC67B3">
            <w:pPr>
              <w:spacing w:after="0"/>
              <w:rPr>
                <w:rFonts w:ascii="Arial" w:hAnsi="Arial" w:cs="Arial"/>
                <w:sz w:val="20"/>
              </w:rPr>
            </w:pPr>
          </w:p>
          <w:p w:rsidR="00493300" w:rsidRDefault="00493300" w:rsidP="00493300">
            <w:pPr>
              <w:pStyle w:val="ListParagraph"/>
              <w:numPr>
                <w:ilvl w:val="0"/>
                <w:numId w:val="5"/>
              </w:numPr>
              <w:rPr>
                <w:rFonts w:ascii="Arial" w:hAnsi="Arial" w:cs="Arial"/>
                <w:sz w:val="20"/>
                <w:lang w:eastAsia="ja-JP"/>
              </w:rPr>
            </w:pPr>
            <w:r>
              <w:rPr>
                <w:rFonts w:ascii="Arial" w:hAnsi="Arial" w:cs="Arial"/>
                <w:sz w:val="20"/>
                <w:lang w:eastAsia="ja-JP"/>
              </w:rPr>
              <w:t>Provide a community based counselling and initiation of oral anticoagulant therapy service for patients meeting service criteria.</w:t>
            </w:r>
          </w:p>
          <w:p w:rsidR="00493300" w:rsidRDefault="00493300" w:rsidP="00FC67B3">
            <w:pPr>
              <w:spacing w:after="0"/>
              <w:rPr>
                <w:rFonts w:ascii="Arial" w:hAnsi="Arial" w:cs="Arial"/>
                <w:sz w:val="20"/>
              </w:rPr>
            </w:pPr>
          </w:p>
          <w:p w:rsidR="00493300" w:rsidRDefault="00493300" w:rsidP="00493300">
            <w:pPr>
              <w:pStyle w:val="ListParagraph"/>
              <w:numPr>
                <w:ilvl w:val="0"/>
                <w:numId w:val="5"/>
              </w:numPr>
              <w:rPr>
                <w:rFonts w:ascii="Arial" w:hAnsi="Arial" w:cs="Arial"/>
                <w:sz w:val="20"/>
                <w:lang w:eastAsia="ja-JP"/>
              </w:rPr>
            </w:pPr>
            <w:r>
              <w:rPr>
                <w:rFonts w:ascii="Arial" w:hAnsi="Arial" w:cs="Arial"/>
                <w:sz w:val="20"/>
                <w:lang w:eastAsia="ja-JP"/>
              </w:rPr>
              <w:t>Provide equitable access for patients ensuring a consistent approach to referral and initiation process</w:t>
            </w:r>
          </w:p>
          <w:p w:rsidR="00493300" w:rsidRDefault="00493300" w:rsidP="00FC67B3">
            <w:pPr>
              <w:pStyle w:val="ListParagraph"/>
              <w:rPr>
                <w:rFonts w:ascii="Arial" w:hAnsi="Arial" w:cs="Arial"/>
                <w:sz w:val="20"/>
                <w:lang w:eastAsia="ja-JP"/>
              </w:rPr>
            </w:pPr>
          </w:p>
          <w:p w:rsidR="00493300" w:rsidRDefault="00493300" w:rsidP="00493300">
            <w:pPr>
              <w:pStyle w:val="ListParagraph"/>
              <w:numPr>
                <w:ilvl w:val="0"/>
                <w:numId w:val="5"/>
              </w:numPr>
              <w:rPr>
                <w:rFonts w:ascii="Arial" w:hAnsi="Arial" w:cs="Arial"/>
                <w:sz w:val="20"/>
                <w:lang w:eastAsia="ja-JP"/>
              </w:rPr>
            </w:pPr>
            <w:r>
              <w:rPr>
                <w:rFonts w:ascii="Arial" w:hAnsi="Arial" w:cs="Arial"/>
                <w:sz w:val="20"/>
                <w:lang w:eastAsia="ja-JP"/>
              </w:rPr>
              <w:t>Provide patient education to support the improvement, understanding and long term outcomes of patients on oral anticoagulants</w:t>
            </w:r>
          </w:p>
          <w:p w:rsidR="00493300" w:rsidRDefault="00493300" w:rsidP="00FC67B3">
            <w:pPr>
              <w:pStyle w:val="ListParagraph"/>
              <w:rPr>
                <w:rFonts w:ascii="Arial" w:hAnsi="Arial" w:cs="Arial"/>
                <w:sz w:val="20"/>
                <w:lang w:eastAsia="ja-JP"/>
              </w:rPr>
            </w:pPr>
          </w:p>
          <w:p w:rsidR="00493300" w:rsidRDefault="00493300" w:rsidP="00493300">
            <w:pPr>
              <w:pStyle w:val="ListParagraph"/>
              <w:numPr>
                <w:ilvl w:val="0"/>
                <w:numId w:val="5"/>
              </w:numPr>
              <w:rPr>
                <w:rFonts w:ascii="Arial" w:hAnsi="Arial" w:cs="Arial"/>
                <w:sz w:val="20"/>
                <w:lang w:eastAsia="ja-JP"/>
              </w:rPr>
            </w:pPr>
            <w:r>
              <w:rPr>
                <w:rFonts w:ascii="Arial" w:hAnsi="Arial" w:cs="Arial"/>
                <w:sz w:val="20"/>
                <w:lang w:eastAsia="ja-JP"/>
              </w:rPr>
              <w:t>Maintain a robust communication network between all medical and allied health professionals involved in individual patient care</w:t>
            </w:r>
          </w:p>
          <w:p w:rsidR="00493300" w:rsidRDefault="00493300" w:rsidP="00FC67B3">
            <w:pPr>
              <w:pStyle w:val="ListParagraph"/>
              <w:rPr>
                <w:rFonts w:ascii="Arial" w:hAnsi="Arial" w:cs="Arial"/>
                <w:sz w:val="20"/>
                <w:lang w:eastAsia="ja-JP"/>
              </w:rPr>
            </w:pPr>
          </w:p>
          <w:p w:rsidR="00493300" w:rsidRDefault="00493300" w:rsidP="00FC67B3">
            <w:pPr>
              <w:rPr>
                <w:rFonts w:ascii="Arial" w:hAnsi="Arial" w:cs="Arial"/>
                <w:sz w:val="20"/>
              </w:rPr>
            </w:pPr>
          </w:p>
          <w:p w:rsidR="00493300" w:rsidRDefault="00493300" w:rsidP="00FC67B3">
            <w:pPr>
              <w:spacing w:after="0"/>
              <w:rPr>
                <w:rFonts w:ascii="Arial" w:hAnsi="Arial" w:cs="Arial"/>
                <w:sz w:val="20"/>
              </w:rPr>
            </w:pPr>
            <w:r>
              <w:rPr>
                <w:rFonts w:ascii="Arial" w:hAnsi="Arial" w:cs="Arial"/>
                <w:sz w:val="20"/>
              </w:rPr>
              <w:t>The objectives of this service are to:</w:t>
            </w:r>
          </w:p>
          <w:p w:rsidR="00493300" w:rsidRDefault="00493300" w:rsidP="00FC67B3">
            <w:pPr>
              <w:spacing w:after="0"/>
              <w:rPr>
                <w:rFonts w:ascii="Arial" w:hAnsi="Arial" w:cs="Arial"/>
                <w:sz w:val="20"/>
              </w:rPr>
            </w:pPr>
          </w:p>
          <w:p w:rsidR="00493300" w:rsidRDefault="00493300" w:rsidP="00493300">
            <w:pPr>
              <w:pStyle w:val="ListParagraph"/>
              <w:numPr>
                <w:ilvl w:val="0"/>
                <w:numId w:val="6"/>
              </w:numPr>
              <w:rPr>
                <w:rFonts w:ascii="Arial" w:hAnsi="Arial" w:cs="Arial"/>
                <w:sz w:val="20"/>
                <w:lang w:eastAsia="ja-JP"/>
              </w:rPr>
            </w:pPr>
            <w:r>
              <w:rPr>
                <w:rFonts w:ascii="Arial" w:hAnsi="Arial" w:cs="Arial"/>
                <w:sz w:val="20"/>
                <w:lang w:eastAsia="ja-JP"/>
              </w:rPr>
              <w:t>Improve patient access, providing specialist care closer to home</w:t>
            </w:r>
          </w:p>
          <w:p w:rsidR="00493300" w:rsidRDefault="00493300" w:rsidP="00493300">
            <w:pPr>
              <w:pStyle w:val="ListParagraph"/>
              <w:numPr>
                <w:ilvl w:val="0"/>
                <w:numId w:val="6"/>
              </w:numPr>
              <w:rPr>
                <w:rFonts w:ascii="Arial" w:hAnsi="Arial" w:cs="Arial"/>
                <w:sz w:val="20"/>
                <w:lang w:eastAsia="ja-JP"/>
              </w:rPr>
            </w:pPr>
            <w:r>
              <w:rPr>
                <w:rFonts w:ascii="Arial" w:hAnsi="Arial" w:cs="Arial"/>
                <w:sz w:val="20"/>
                <w:lang w:eastAsia="ja-JP"/>
              </w:rPr>
              <w:t>Reduce and minimise inequalities of care</w:t>
            </w:r>
          </w:p>
          <w:p w:rsidR="00493300" w:rsidRDefault="00493300" w:rsidP="00493300">
            <w:pPr>
              <w:pStyle w:val="ListParagraph"/>
              <w:numPr>
                <w:ilvl w:val="0"/>
                <w:numId w:val="6"/>
              </w:numPr>
              <w:rPr>
                <w:rFonts w:ascii="Arial" w:hAnsi="Arial" w:cs="Arial"/>
                <w:sz w:val="20"/>
                <w:lang w:eastAsia="ja-JP"/>
              </w:rPr>
            </w:pPr>
            <w:r>
              <w:rPr>
                <w:rFonts w:ascii="Arial" w:hAnsi="Arial" w:cs="Arial"/>
                <w:sz w:val="20"/>
                <w:lang w:eastAsia="ja-JP"/>
              </w:rPr>
              <w:t>Reduce waiting times and delay in initiation of treatment</w:t>
            </w:r>
          </w:p>
          <w:p w:rsidR="00493300" w:rsidRDefault="00493300" w:rsidP="00493300">
            <w:pPr>
              <w:pStyle w:val="ListParagraph"/>
              <w:numPr>
                <w:ilvl w:val="0"/>
                <w:numId w:val="6"/>
              </w:numPr>
              <w:rPr>
                <w:rFonts w:ascii="Arial" w:hAnsi="Arial" w:cs="Arial"/>
                <w:sz w:val="20"/>
                <w:lang w:eastAsia="ja-JP"/>
              </w:rPr>
            </w:pPr>
            <w:r>
              <w:rPr>
                <w:rFonts w:ascii="Arial" w:hAnsi="Arial" w:cs="Arial"/>
                <w:sz w:val="20"/>
                <w:lang w:eastAsia="ja-JP"/>
              </w:rPr>
              <w:t xml:space="preserve">Enhance quality of specialist anticoagulant care </w:t>
            </w:r>
          </w:p>
          <w:p w:rsidR="00493300" w:rsidRDefault="00493300" w:rsidP="00493300">
            <w:pPr>
              <w:pStyle w:val="ListParagraph"/>
              <w:numPr>
                <w:ilvl w:val="0"/>
                <w:numId w:val="6"/>
              </w:numPr>
              <w:rPr>
                <w:rFonts w:ascii="Arial" w:hAnsi="Arial" w:cs="Arial"/>
                <w:sz w:val="20"/>
                <w:lang w:eastAsia="ja-JP"/>
              </w:rPr>
            </w:pPr>
            <w:r>
              <w:rPr>
                <w:rFonts w:ascii="Arial" w:hAnsi="Arial" w:cs="Arial"/>
                <w:sz w:val="20"/>
                <w:lang w:eastAsia="ja-JP"/>
              </w:rPr>
              <w:t>Increase service effectiveness of patient care pathway</w:t>
            </w:r>
          </w:p>
          <w:p w:rsidR="00493300" w:rsidRDefault="00493300" w:rsidP="00493300">
            <w:pPr>
              <w:pStyle w:val="ListParagraph"/>
              <w:numPr>
                <w:ilvl w:val="0"/>
                <w:numId w:val="6"/>
              </w:numPr>
              <w:rPr>
                <w:rFonts w:ascii="Arial" w:hAnsi="Arial" w:cs="Arial"/>
                <w:sz w:val="20"/>
                <w:lang w:eastAsia="ja-JP"/>
              </w:rPr>
            </w:pPr>
            <w:r>
              <w:rPr>
                <w:rFonts w:ascii="Arial" w:hAnsi="Arial" w:cs="Arial"/>
                <w:sz w:val="20"/>
                <w:lang w:eastAsia="ja-JP"/>
              </w:rPr>
              <w:t>Be integral to the improvement of clinical outcomes, to include participation relevant data collection and analysis</w:t>
            </w:r>
          </w:p>
          <w:p w:rsidR="00493300" w:rsidRDefault="00493300" w:rsidP="00493300">
            <w:pPr>
              <w:pStyle w:val="ListParagraph"/>
              <w:numPr>
                <w:ilvl w:val="0"/>
                <w:numId w:val="6"/>
              </w:numPr>
              <w:rPr>
                <w:rFonts w:ascii="Arial" w:hAnsi="Arial" w:cs="Arial"/>
                <w:sz w:val="20"/>
                <w:lang w:eastAsia="ja-JP"/>
              </w:rPr>
            </w:pPr>
            <w:r>
              <w:rPr>
                <w:rFonts w:ascii="Arial" w:hAnsi="Arial" w:cs="Arial"/>
                <w:sz w:val="20"/>
                <w:lang w:eastAsia="ja-JP"/>
              </w:rPr>
              <w:t>Demonstrate service user satisfaction</w:t>
            </w:r>
          </w:p>
          <w:p w:rsidR="00493300" w:rsidRDefault="00493300" w:rsidP="00493300">
            <w:pPr>
              <w:pStyle w:val="ListParagraph"/>
              <w:numPr>
                <w:ilvl w:val="0"/>
                <w:numId w:val="6"/>
              </w:numPr>
              <w:rPr>
                <w:rFonts w:ascii="Arial" w:hAnsi="Arial" w:cs="Arial"/>
                <w:sz w:val="20"/>
                <w:lang w:eastAsia="ja-JP"/>
              </w:rPr>
            </w:pPr>
            <w:r>
              <w:rPr>
                <w:rFonts w:ascii="Arial" w:hAnsi="Arial" w:cs="Arial"/>
                <w:sz w:val="20"/>
                <w:lang w:eastAsia="ja-JP"/>
              </w:rPr>
              <w:t>Achieve efficiency savings</w:t>
            </w:r>
          </w:p>
          <w:p w:rsidR="00493300" w:rsidRDefault="00493300" w:rsidP="00FC67B3">
            <w:pPr>
              <w:pStyle w:val="ListParagraph"/>
              <w:rPr>
                <w:rFonts w:ascii="Arial" w:hAnsi="Arial" w:cs="Arial"/>
                <w:sz w:val="20"/>
                <w:lang w:eastAsia="ja-JP"/>
              </w:rPr>
            </w:pPr>
          </w:p>
          <w:p w:rsidR="00493300" w:rsidRDefault="00493300" w:rsidP="00FC67B3">
            <w:pPr>
              <w:pStyle w:val="ListParagraph"/>
              <w:rPr>
                <w:rFonts w:ascii="Arial" w:hAnsi="Arial" w:cs="Arial"/>
                <w:sz w:val="20"/>
                <w:lang w:eastAsia="ja-JP"/>
              </w:rPr>
            </w:pPr>
          </w:p>
          <w:p w:rsidR="00493300" w:rsidRDefault="00493300" w:rsidP="00FC67B3">
            <w:pPr>
              <w:spacing w:after="0"/>
              <w:rPr>
                <w:rFonts w:ascii="Arial" w:hAnsi="Arial" w:cs="Arial"/>
                <w:sz w:val="20"/>
              </w:rPr>
            </w:pPr>
          </w:p>
          <w:p w:rsidR="00493300" w:rsidRDefault="00493300" w:rsidP="00FC67B3">
            <w:pPr>
              <w:spacing w:after="0"/>
              <w:rPr>
                <w:rFonts w:ascii="Arial" w:hAnsi="Arial" w:cs="Arial"/>
                <w:b/>
                <w:color w:val="009966"/>
                <w:sz w:val="20"/>
              </w:rPr>
            </w:pPr>
            <w:r>
              <w:rPr>
                <w:rFonts w:ascii="Arial" w:hAnsi="Arial" w:cs="Arial"/>
                <w:b/>
                <w:color w:val="009966"/>
                <w:sz w:val="20"/>
              </w:rPr>
              <w:t>3.2</w:t>
            </w:r>
            <w:r>
              <w:rPr>
                <w:rFonts w:ascii="Arial" w:hAnsi="Arial" w:cs="Arial"/>
                <w:b/>
                <w:color w:val="009966"/>
                <w:sz w:val="20"/>
              </w:rPr>
              <w:tab/>
              <w:t>Service description/care pathway</w:t>
            </w:r>
          </w:p>
          <w:p w:rsidR="00493300" w:rsidRDefault="00493300" w:rsidP="00FC67B3">
            <w:pPr>
              <w:spacing w:after="0"/>
              <w:rPr>
                <w:rFonts w:ascii="Arial" w:hAnsi="Arial" w:cs="Arial"/>
                <w:b/>
                <w:color w:val="009966"/>
                <w:sz w:val="20"/>
              </w:rPr>
            </w:pPr>
          </w:p>
          <w:p w:rsidR="00493300" w:rsidRDefault="00493300" w:rsidP="00FC67B3">
            <w:pPr>
              <w:spacing w:after="0"/>
              <w:rPr>
                <w:rFonts w:ascii="Arial" w:hAnsi="Arial" w:cs="Arial"/>
                <w:sz w:val="20"/>
              </w:rPr>
            </w:pPr>
            <w:r>
              <w:rPr>
                <w:rFonts w:ascii="Arial" w:hAnsi="Arial" w:cs="Arial"/>
                <w:sz w:val="20"/>
              </w:rPr>
              <w:t>This specification requires the provider to deliver a program of initiation of oral anticoagulant therapy and patient choice.</w:t>
            </w:r>
          </w:p>
          <w:p w:rsidR="00493300" w:rsidRDefault="00493300" w:rsidP="00FC67B3">
            <w:pPr>
              <w:spacing w:after="0"/>
              <w:rPr>
                <w:rFonts w:ascii="Arial" w:hAnsi="Arial" w:cs="Arial"/>
                <w:sz w:val="20"/>
              </w:rPr>
            </w:pPr>
          </w:p>
          <w:p w:rsidR="00493300" w:rsidRDefault="00493300" w:rsidP="00FC67B3">
            <w:pPr>
              <w:spacing w:after="0"/>
              <w:rPr>
                <w:rFonts w:ascii="Arial" w:hAnsi="Arial" w:cs="Arial"/>
                <w:sz w:val="20"/>
              </w:rPr>
            </w:pPr>
            <w:r>
              <w:rPr>
                <w:rFonts w:ascii="Arial" w:hAnsi="Arial" w:cs="Arial"/>
                <w:sz w:val="20"/>
              </w:rPr>
              <w:t>The provider will be expected to deliver the following in line with national and local guidance:</w:t>
            </w:r>
          </w:p>
          <w:p w:rsidR="00493300" w:rsidRDefault="00493300" w:rsidP="00FC67B3">
            <w:pPr>
              <w:spacing w:after="0"/>
              <w:rPr>
                <w:rFonts w:ascii="Arial" w:hAnsi="Arial" w:cs="Arial"/>
                <w:sz w:val="20"/>
              </w:rPr>
            </w:pPr>
          </w:p>
          <w:p w:rsidR="00493300" w:rsidRDefault="00493300" w:rsidP="00493300">
            <w:pPr>
              <w:pStyle w:val="ListParagraph"/>
              <w:numPr>
                <w:ilvl w:val="0"/>
                <w:numId w:val="7"/>
              </w:numPr>
              <w:rPr>
                <w:rFonts w:ascii="Arial" w:hAnsi="Arial" w:cs="Arial"/>
                <w:sz w:val="20"/>
                <w:lang w:eastAsia="ja-JP"/>
              </w:rPr>
            </w:pPr>
            <w:r>
              <w:rPr>
                <w:rFonts w:ascii="Arial" w:hAnsi="Arial" w:cs="Arial"/>
                <w:sz w:val="20"/>
                <w:lang w:eastAsia="ja-JP"/>
              </w:rPr>
              <w:t>Anticoagulant drug specific counselling and education – to include completion and signing of an anticoagulant counselling record by staff member and patient(carer)</w:t>
            </w:r>
          </w:p>
          <w:p w:rsidR="00493300" w:rsidRDefault="00493300" w:rsidP="00493300">
            <w:pPr>
              <w:pStyle w:val="ListParagraph"/>
              <w:numPr>
                <w:ilvl w:val="0"/>
                <w:numId w:val="7"/>
              </w:numPr>
              <w:rPr>
                <w:rFonts w:ascii="Arial" w:hAnsi="Arial" w:cs="Arial"/>
                <w:sz w:val="20"/>
                <w:lang w:eastAsia="ja-JP"/>
              </w:rPr>
            </w:pPr>
            <w:r>
              <w:rPr>
                <w:rFonts w:ascii="Arial" w:hAnsi="Arial" w:cs="Arial"/>
                <w:sz w:val="20"/>
                <w:lang w:eastAsia="ja-JP"/>
              </w:rPr>
              <w:t xml:space="preserve">Record relevant clinical and social history </w:t>
            </w:r>
          </w:p>
          <w:p w:rsidR="00493300" w:rsidRDefault="00493300" w:rsidP="00493300">
            <w:pPr>
              <w:pStyle w:val="ListParagraph"/>
              <w:numPr>
                <w:ilvl w:val="0"/>
                <w:numId w:val="7"/>
              </w:numPr>
              <w:rPr>
                <w:rFonts w:ascii="Arial" w:hAnsi="Arial" w:cs="Arial"/>
                <w:sz w:val="20"/>
                <w:lang w:eastAsia="ja-JP"/>
              </w:rPr>
            </w:pPr>
            <w:r>
              <w:rPr>
                <w:rFonts w:ascii="Arial" w:hAnsi="Arial" w:cs="Arial"/>
                <w:sz w:val="20"/>
                <w:lang w:eastAsia="ja-JP"/>
              </w:rPr>
              <w:t>Advice on dose to commence</w:t>
            </w:r>
          </w:p>
          <w:p w:rsidR="00493300" w:rsidRDefault="00493300" w:rsidP="00493300">
            <w:pPr>
              <w:pStyle w:val="ListParagraph"/>
              <w:numPr>
                <w:ilvl w:val="0"/>
                <w:numId w:val="7"/>
              </w:numPr>
              <w:rPr>
                <w:rFonts w:ascii="Arial" w:hAnsi="Arial" w:cs="Arial"/>
                <w:sz w:val="20"/>
                <w:lang w:eastAsia="ja-JP"/>
              </w:rPr>
            </w:pPr>
            <w:r>
              <w:rPr>
                <w:rFonts w:ascii="Arial" w:hAnsi="Arial" w:cs="Arial"/>
                <w:sz w:val="20"/>
                <w:lang w:eastAsia="ja-JP"/>
              </w:rPr>
              <w:t>Contact numbers and future line of support advise</w:t>
            </w:r>
          </w:p>
          <w:p w:rsidR="00493300" w:rsidRDefault="00493300" w:rsidP="00493300">
            <w:pPr>
              <w:pStyle w:val="ListParagraph"/>
              <w:numPr>
                <w:ilvl w:val="0"/>
                <w:numId w:val="7"/>
              </w:numPr>
              <w:rPr>
                <w:rFonts w:ascii="Arial" w:hAnsi="Arial" w:cs="Arial"/>
                <w:sz w:val="20"/>
                <w:lang w:eastAsia="ja-JP"/>
              </w:rPr>
            </w:pPr>
            <w:r>
              <w:rPr>
                <w:rFonts w:ascii="Arial" w:hAnsi="Arial" w:cs="Arial"/>
                <w:sz w:val="20"/>
                <w:lang w:eastAsia="ja-JP"/>
              </w:rPr>
              <w:t>Patients on warfarin to be given Yellow Oral anticoagulant information  pack- including dosing book and alert card</w:t>
            </w:r>
          </w:p>
          <w:p w:rsidR="00493300" w:rsidRDefault="00493300" w:rsidP="00493300">
            <w:pPr>
              <w:pStyle w:val="ListParagraph"/>
              <w:numPr>
                <w:ilvl w:val="0"/>
                <w:numId w:val="7"/>
              </w:numPr>
              <w:rPr>
                <w:rFonts w:ascii="Arial" w:hAnsi="Arial" w:cs="Arial"/>
                <w:sz w:val="20"/>
                <w:lang w:eastAsia="ja-JP"/>
              </w:rPr>
            </w:pPr>
            <w:r>
              <w:rPr>
                <w:rFonts w:ascii="Arial" w:hAnsi="Arial" w:cs="Arial"/>
                <w:sz w:val="20"/>
                <w:lang w:eastAsia="ja-JP"/>
              </w:rPr>
              <w:t>Patients on NOAC to be given relevant drug information pack – including alert card</w:t>
            </w:r>
          </w:p>
          <w:p w:rsidR="00493300" w:rsidRDefault="00493300" w:rsidP="00493300">
            <w:pPr>
              <w:pStyle w:val="ListParagraph"/>
              <w:numPr>
                <w:ilvl w:val="0"/>
                <w:numId w:val="7"/>
              </w:numPr>
              <w:rPr>
                <w:rFonts w:ascii="Arial" w:hAnsi="Arial" w:cs="Arial"/>
                <w:sz w:val="20"/>
                <w:lang w:eastAsia="ja-JP"/>
              </w:rPr>
            </w:pPr>
            <w:r>
              <w:rPr>
                <w:rFonts w:ascii="Arial" w:hAnsi="Arial" w:cs="Arial"/>
                <w:sz w:val="20"/>
                <w:lang w:eastAsia="ja-JP"/>
              </w:rPr>
              <w:t>Manage continued monitoring of patients on warfarin in line with anticoagulant service specifications and protocols</w:t>
            </w:r>
          </w:p>
          <w:p w:rsidR="00493300" w:rsidRDefault="00493300" w:rsidP="00493300">
            <w:pPr>
              <w:pStyle w:val="ListParagraph"/>
              <w:numPr>
                <w:ilvl w:val="0"/>
                <w:numId w:val="7"/>
              </w:numPr>
              <w:rPr>
                <w:rFonts w:ascii="Arial" w:hAnsi="Arial" w:cs="Arial"/>
                <w:sz w:val="20"/>
                <w:lang w:eastAsia="ja-JP"/>
              </w:rPr>
            </w:pPr>
            <w:r>
              <w:rPr>
                <w:rFonts w:ascii="Arial" w:hAnsi="Arial" w:cs="Arial"/>
                <w:sz w:val="20"/>
                <w:lang w:eastAsia="ja-JP"/>
              </w:rPr>
              <w:t>Review patients on NOAC’s in line with service specification and protocol before transferring back to GP for long term management</w:t>
            </w:r>
          </w:p>
          <w:p w:rsidR="00493300" w:rsidRDefault="00493300" w:rsidP="00493300">
            <w:pPr>
              <w:pStyle w:val="ListParagraph"/>
              <w:numPr>
                <w:ilvl w:val="0"/>
                <w:numId w:val="7"/>
              </w:numPr>
              <w:rPr>
                <w:rFonts w:ascii="Arial" w:hAnsi="Arial" w:cs="Arial"/>
                <w:sz w:val="20"/>
                <w:lang w:eastAsia="ja-JP"/>
              </w:rPr>
            </w:pPr>
            <w:r>
              <w:rPr>
                <w:rFonts w:ascii="Arial" w:hAnsi="Arial" w:cs="Arial"/>
                <w:sz w:val="20"/>
                <w:lang w:eastAsia="ja-JP"/>
              </w:rPr>
              <w:t>Prescriptions for all oral anticoagulants will be the responsibility of the patient’s general practitioner.</w:t>
            </w:r>
          </w:p>
          <w:p w:rsidR="00493300" w:rsidRDefault="00493300" w:rsidP="00FC67B3">
            <w:pPr>
              <w:rPr>
                <w:rFonts w:ascii="Arial" w:hAnsi="Arial" w:cs="Arial"/>
                <w:b/>
                <w:sz w:val="20"/>
              </w:rPr>
            </w:pPr>
          </w:p>
          <w:p w:rsidR="00493300" w:rsidRDefault="00493300" w:rsidP="00FC67B3">
            <w:pPr>
              <w:rPr>
                <w:rFonts w:ascii="Arial" w:hAnsi="Arial" w:cs="Arial"/>
                <w:sz w:val="20"/>
              </w:rPr>
            </w:pPr>
            <w:r>
              <w:rPr>
                <w:rFonts w:ascii="Arial" w:hAnsi="Arial" w:cs="Arial"/>
                <w:sz w:val="20"/>
              </w:rPr>
              <w:lastRenderedPageBreak/>
              <w:t>The provider will be required to deliver a comprehensive counseling service in line with service protocol and documentation to all patients with atrial fibrillation referred to this service, who are deemed clinically safe to be managed in an outpatient facility.</w:t>
            </w:r>
          </w:p>
          <w:p w:rsidR="00493300" w:rsidRDefault="00493300" w:rsidP="00FC67B3">
            <w:pPr>
              <w:spacing w:after="0"/>
              <w:rPr>
                <w:rFonts w:ascii="Arial" w:hAnsi="Arial" w:cs="Arial"/>
                <w:color w:val="009966"/>
                <w:sz w:val="20"/>
              </w:rPr>
            </w:pPr>
          </w:p>
          <w:p w:rsidR="00493300" w:rsidRDefault="00493300" w:rsidP="00FC67B3">
            <w:pPr>
              <w:spacing w:after="0"/>
              <w:rPr>
                <w:rFonts w:ascii="Arial" w:hAnsi="Arial" w:cs="Arial"/>
                <w:b/>
                <w:color w:val="009966"/>
                <w:sz w:val="20"/>
              </w:rPr>
            </w:pPr>
            <w:r>
              <w:rPr>
                <w:rFonts w:ascii="Arial" w:hAnsi="Arial" w:cs="Arial"/>
                <w:b/>
                <w:color w:val="009966"/>
                <w:sz w:val="20"/>
              </w:rPr>
              <w:t>3.3</w:t>
            </w:r>
            <w:r>
              <w:rPr>
                <w:rFonts w:ascii="Arial" w:hAnsi="Arial" w:cs="Arial"/>
                <w:b/>
                <w:color w:val="009966"/>
                <w:sz w:val="20"/>
              </w:rPr>
              <w:tab/>
              <w:t>Population covered</w:t>
            </w:r>
          </w:p>
          <w:p w:rsidR="00493300" w:rsidRDefault="00493300" w:rsidP="00FC67B3">
            <w:pPr>
              <w:spacing w:after="0"/>
              <w:rPr>
                <w:rFonts w:ascii="Arial" w:hAnsi="Arial" w:cs="Arial"/>
                <w:color w:val="009966"/>
                <w:sz w:val="20"/>
              </w:rPr>
            </w:pPr>
          </w:p>
          <w:p w:rsidR="00493300" w:rsidRDefault="00493300" w:rsidP="00FC67B3">
            <w:pPr>
              <w:spacing w:after="0"/>
              <w:rPr>
                <w:rFonts w:ascii="Arial" w:hAnsi="Arial" w:cs="Arial"/>
                <w:sz w:val="20"/>
              </w:rPr>
            </w:pPr>
            <w:r>
              <w:rPr>
                <w:rFonts w:ascii="Arial" w:hAnsi="Arial" w:cs="Arial"/>
                <w:sz w:val="20"/>
              </w:rPr>
              <w:t xml:space="preserve">The provider will provide the service for patients that are registered with a </w:t>
            </w:r>
            <w:proofErr w:type="spellStart"/>
            <w:r>
              <w:rPr>
                <w:rFonts w:ascii="Arial" w:hAnsi="Arial" w:cs="Arial"/>
                <w:sz w:val="20"/>
              </w:rPr>
              <w:t>Newham</w:t>
            </w:r>
            <w:proofErr w:type="spellEnd"/>
            <w:r>
              <w:rPr>
                <w:rFonts w:ascii="Arial" w:hAnsi="Arial" w:cs="Arial"/>
                <w:sz w:val="20"/>
              </w:rPr>
              <w:t xml:space="preserve"> GP practice and live within the borough of </w:t>
            </w:r>
            <w:proofErr w:type="spellStart"/>
            <w:r>
              <w:rPr>
                <w:rFonts w:ascii="Arial" w:hAnsi="Arial" w:cs="Arial"/>
                <w:sz w:val="20"/>
              </w:rPr>
              <w:t>Newham</w:t>
            </w:r>
            <w:proofErr w:type="spellEnd"/>
            <w:r>
              <w:rPr>
                <w:rFonts w:ascii="Arial" w:hAnsi="Arial" w:cs="Arial"/>
                <w:sz w:val="20"/>
              </w:rPr>
              <w:t xml:space="preserve">. Clinics will be provided in the community within the geographical boundary of </w:t>
            </w:r>
            <w:proofErr w:type="spellStart"/>
            <w:r>
              <w:rPr>
                <w:rFonts w:ascii="Arial" w:hAnsi="Arial" w:cs="Arial"/>
                <w:sz w:val="20"/>
              </w:rPr>
              <w:t>Newham</w:t>
            </w:r>
            <w:proofErr w:type="spellEnd"/>
            <w:r>
              <w:rPr>
                <w:rFonts w:ascii="Arial" w:hAnsi="Arial" w:cs="Arial"/>
                <w:sz w:val="20"/>
              </w:rPr>
              <w:t xml:space="preserve"> CCG.</w:t>
            </w:r>
          </w:p>
          <w:p w:rsidR="00493300" w:rsidRDefault="00493300" w:rsidP="00FC67B3">
            <w:pPr>
              <w:spacing w:after="0"/>
              <w:rPr>
                <w:rFonts w:ascii="Arial" w:hAnsi="Arial" w:cs="Arial"/>
                <w:sz w:val="20"/>
              </w:rPr>
            </w:pPr>
          </w:p>
          <w:p w:rsidR="00493300" w:rsidRDefault="00493300" w:rsidP="00FC67B3">
            <w:pPr>
              <w:spacing w:after="0"/>
              <w:rPr>
                <w:rFonts w:ascii="Arial" w:hAnsi="Arial" w:cs="Arial"/>
                <w:sz w:val="20"/>
              </w:rPr>
            </w:pPr>
            <w:r>
              <w:rPr>
                <w:rFonts w:ascii="Arial" w:hAnsi="Arial" w:cs="Arial"/>
                <w:sz w:val="20"/>
              </w:rPr>
              <w:t>The provider will be expected to maintain strong primary care links for wider healthcare support and independencies</w:t>
            </w:r>
          </w:p>
          <w:p w:rsidR="00493300" w:rsidRDefault="00493300" w:rsidP="00FC67B3">
            <w:pPr>
              <w:spacing w:after="0"/>
              <w:rPr>
                <w:rFonts w:ascii="Arial" w:hAnsi="Arial" w:cs="Arial"/>
                <w:sz w:val="20"/>
              </w:rPr>
            </w:pPr>
          </w:p>
          <w:p w:rsidR="00493300" w:rsidRDefault="00493300" w:rsidP="00FC67B3">
            <w:pPr>
              <w:spacing w:after="0"/>
              <w:rPr>
                <w:rFonts w:ascii="Arial" w:hAnsi="Arial" w:cs="Arial"/>
                <w:sz w:val="20"/>
              </w:rPr>
            </w:pPr>
            <w:r>
              <w:rPr>
                <w:rFonts w:ascii="Arial" w:hAnsi="Arial" w:cs="Arial"/>
                <w:sz w:val="20"/>
              </w:rPr>
              <w:t>It is important that the provider has knowledge and understanding of their patients, the demographical needs of the local area and the local strategic objectives.</w:t>
            </w:r>
          </w:p>
          <w:p w:rsidR="00493300" w:rsidRDefault="00493300" w:rsidP="00FC67B3">
            <w:pPr>
              <w:spacing w:after="0"/>
              <w:rPr>
                <w:rFonts w:ascii="Arial" w:hAnsi="Arial" w:cs="Arial"/>
                <w:color w:val="009966"/>
                <w:sz w:val="20"/>
              </w:rPr>
            </w:pPr>
          </w:p>
          <w:p w:rsidR="00493300" w:rsidRDefault="00493300" w:rsidP="00FC67B3">
            <w:pPr>
              <w:spacing w:after="0"/>
              <w:rPr>
                <w:rFonts w:ascii="Arial" w:hAnsi="Arial" w:cs="Arial"/>
                <w:color w:val="009966"/>
                <w:sz w:val="20"/>
              </w:rPr>
            </w:pPr>
          </w:p>
          <w:p w:rsidR="00493300" w:rsidRDefault="00493300" w:rsidP="00FC67B3">
            <w:pPr>
              <w:spacing w:after="0"/>
              <w:rPr>
                <w:rFonts w:ascii="Arial" w:hAnsi="Arial" w:cs="Arial"/>
                <w:b/>
                <w:color w:val="009966"/>
                <w:sz w:val="20"/>
              </w:rPr>
            </w:pPr>
            <w:r>
              <w:rPr>
                <w:rFonts w:ascii="Arial" w:hAnsi="Arial" w:cs="Arial"/>
                <w:b/>
                <w:color w:val="009966"/>
                <w:sz w:val="20"/>
              </w:rPr>
              <w:t>3.4</w:t>
            </w:r>
            <w:r>
              <w:rPr>
                <w:rFonts w:ascii="Arial" w:hAnsi="Arial" w:cs="Arial"/>
                <w:b/>
                <w:color w:val="009966"/>
                <w:sz w:val="20"/>
              </w:rPr>
              <w:tab/>
              <w:t xml:space="preserve">Any acceptance and exclusion criteria and thresholds Patients who are excluded from this service </w:t>
            </w:r>
          </w:p>
          <w:p w:rsidR="00493300" w:rsidRDefault="00493300" w:rsidP="00FC67B3">
            <w:pPr>
              <w:spacing w:after="0"/>
              <w:rPr>
                <w:rFonts w:ascii="Arial" w:hAnsi="Arial" w:cs="Arial"/>
                <w:b/>
                <w:color w:val="009966"/>
                <w:sz w:val="20"/>
              </w:rPr>
            </w:pPr>
          </w:p>
          <w:p w:rsidR="00493300" w:rsidRDefault="00493300" w:rsidP="00FC67B3">
            <w:pPr>
              <w:rPr>
                <w:rFonts w:ascii="Arial" w:hAnsi="Arial" w:cs="Arial"/>
                <w:sz w:val="20"/>
                <w:lang w:val="en-GB" w:eastAsia="en-US"/>
              </w:rPr>
            </w:pPr>
            <w:r>
              <w:rPr>
                <w:rFonts w:ascii="Arial" w:hAnsi="Arial" w:cs="Arial"/>
                <w:sz w:val="20"/>
                <w:lang w:val="en-GB" w:eastAsia="en-US"/>
              </w:rPr>
              <w:t>It is the responsibility of the provider to ensure that when patients are referred to their service that the patient meets criteria prior to acceptance.</w:t>
            </w:r>
          </w:p>
          <w:p w:rsidR="00493300" w:rsidRDefault="00493300" w:rsidP="00FC67B3">
            <w:pPr>
              <w:spacing w:after="0"/>
              <w:rPr>
                <w:rFonts w:ascii="Arial" w:hAnsi="Arial" w:cs="Arial"/>
                <w:sz w:val="20"/>
              </w:rPr>
            </w:pPr>
            <w:r>
              <w:rPr>
                <w:rFonts w:ascii="Arial" w:hAnsi="Arial" w:cs="Arial"/>
                <w:sz w:val="20"/>
              </w:rPr>
              <w:t>The service will be available for all eligible patients with atrial fibrillation who are over 16 years of age and do not require rapid anticoagulation.</w:t>
            </w:r>
          </w:p>
          <w:p w:rsidR="00493300" w:rsidRDefault="00493300" w:rsidP="00FC67B3">
            <w:pPr>
              <w:spacing w:after="0"/>
              <w:rPr>
                <w:rFonts w:ascii="Arial" w:hAnsi="Arial" w:cs="Arial"/>
                <w:sz w:val="20"/>
              </w:rPr>
            </w:pPr>
          </w:p>
          <w:p w:rsidR="00493300" w:rsidRDefault="00493300" w:rsidP="00493300">
            <w:pPr>
              <w:pStyle w:val="ListParagraph"/>
              <w:numPr>
                <w:ilvl w:val="0"/>
                <w:numId w:val="8"/>
              </w:numPr>
              <w:rPr>
                <w:rFonts w:ascii="Arial" w:hAnsi="Arial" w:cs="Arial"/>
                <w:sz w:val="20"/>
                <w:lang w:eastAsia="ja-JP"/>
              </w:rPr>
            </w:pPr>
            <w:r>
              <w:rPr>
                <w:rFonts w:ascii="Arial" w:hAnsi="Arial" w:cs="Arial"/>
                <w:sz w:val="20"/>
                <w:lang w:eastAsia="ja-JP"/>
              </w:rPr>
              <w:t>Atrial fibrillation – uncomplicated by an embolic event</w:t>
            </w:r>
          </w:p>
          <w:p w:rsidR="00493300" w:rsidRDefault="00493300" w:rsidP="00493300">
            <w:pPr>
              <w:pStyle w:val="ListParagraph"/>
              <w:numPr>
                <w:ilvl w:val="0"/>
                <w:numId w:val="8"/>
              </w:numPr>
              <w:rPr>
                <w:rFonts w:ascii="Arial" w:hAnsi="Arial" w:cs="Arial"/>
                <w:sz w:val="20"/>
                <w:lang w:eastAsia="ja-JP"/>
              </w:rPr>
            </w:pPr>
            <w:r>
              <w:rPr>
                <w:rFonts w:ascii="Arial" w:hAnsi="Arial" w:cs="Arial"/>
                <w:sz w:val="20"/>
                <w:lang w:eastAsia="ja-JP"/>
              </w:rPr>
              <w:t>Non-</w:t>
            </w:r>
            <w:proofErr w:type="spellStart"/>
            <w:r>
              <w:rPr>
                <w:rFonts w:ascii="Arial" w:hAnsi="Arial" w:cs="Arial"/>
                <w:sz w:val="20"/>
                <w:lang w:eastAsia="ja-JP"/>
              </w:rPr>
              <w:t>valvular</w:t>
            </w:r>
            <w:proofErr w:type="spellEnd"/>
            <w:r>
              <w:rPr>
                <w:rFonts w:ascii="Arial" w:hAnsi="Arial" w:cs="Arial"/>
                <w:sz w:val="20"/>
                <w:lang w:eastAsia="ja-JP"/>
              </w:rPr>
              <w:t xml:space="preserve"> atrial fibrillation</w:t>
            </w:r>
          </w:p>
          <w:p w:rsidR="00493300" w:rsidRDefault="00493300" w:rsidP="00FC67B3">
            <w:pPr>
              <w:rPr>
                <w:rFonts w:ascii="Arial" w:hAnsi="Arial" w:cs="Arial"/>
                <w:sz w:val="20"/>
              </w:rPr>
            </w:pPr>
          </w:p>
          <w:p w:rsidR="00493300" w:rsidRDefault="00493300" w:rsidP="00FC67B3">
            <w:pPr>
              <w:rPr>
                <w:rFonts w:ascii="Arial" w:hAnsi="Arial" w:cs="Arial"/>
                <w:b/>
                <w:sz w:val="20"/>
              </w:rPr>
            </w:pPr>
            <w:r>
              <w:rPr>
                <w:rFonts w:ascii="Arial" w:hAnsi="Arial" w:cs="Arial"/>
                <w:b/>
                <w:sz w:val="20"/>
              </w:rPr>
              <w:t>3.4.1 Exclusion Criteria</w:t>
            </w:r>
          </w:p>
          <w:p w:rsidR="00493300" w:rsidRDefault="00493300" w:rsidP="00FC67B3">
            <w:pPr>
              <w:rPr>
                <w:rFonts w:ascii="Arial" w:hAnsi="Arial" w:cs="Arial"/>
                <w:sz w:val="20"/>
              </w:rPr>
            </w:pPr>
            <w:r>
              <w:rPr>
                <w:rFonts w:ascii="Arial" w:hAnsi="Arial" w:cs="Arial"/>
                <w:sz w:val="20"/>
              </w:rPr>
              <w:t>Patients not eligible for ongoing community anticoagulant management will also be excluded:</w:t>
            </w:r>
          </w:p>
          <w:p w:rsidR="00493300" w:rsidRDefault="00493300" w:rsidP="00493300">
            <w:pPr>
              <w:numPr>
                <w:ilvl w:val="0"/>
                <w:numId w:val="9"/>
              </w:numPr>
              <w:spacing w:after="0"/>
              <w:rPr>
                <w:rFonts w:ascii="Arial" w:hAnsi="Arial"/>
                <w:sz w:val="20"/>
              </w:rPr>
            </w:pPr>
            <w:r>
              <w:rPr>
                <w:rFonts w:ascii="Arial" w:hAnsi="Arial"/>
                <w:sz w:val="20"/>
              </w:rPr>
              <w:t xml:space="preserve">A complicated known hereditary bleeding disorders who need regular </w:t>
            </w:r>
            <w:proofErr w:type="spellStart"/>
            <w:r>
              <w:rPr>
                <w:rFonts w:ascii="Arial" w:hAnsi="Arial"/>
                <w:sz w:val="20"/>
              </w:rPr>
              <w:t>haematologist</w:t>
            </w:r>
            <w:proofErr w:type="spellEnd"/>
            <w:r>
              <w:rPr>
                <w:rFonts w:ascii="Arial" w:hAnsi="Arial"/>
                <w:sz w:val="20"/>
              </w:rPr>
              <w:t xml:space="preserve"> specialist support.</w:t>
            </w:r>
          </w:p>
          <w:p w:rsidR="00493300" w:rsidRDefault="00493300" w:rsidP="00493300">
            <w:pPr>
              <w:numPr>
                <w:ilvl w:val="0"/>
                <w:numId w:val="9"/>
              </w:numPr>
              <w:spacing w:after="0"/>
              <w:jc w:val="both"/>
              <w:rPr>
                <w:rFonts w:ascii="Arial" w:hAnsi="Arial"/>
                <w:sz w:val="20"/>
              </w:rPr>
            </w:pPr>
            <w:r>
              <w:rPr>
                <w:rFonts w:ascii="Arial" w:hAnsi="Arial"/>
                <w:sz w:val="20"/>
              </w:rPr>
              <w:t xml:space="preserve">Short term anticoagulant treatment of 12 weeks or less </w:t>
            </w:r>
          </w:p>
          <w:p w:rsidR="00493300" w:rsidRDefault="00493300" w:rsidP="00493300">
            <w:pPr>
              <w:numPr>
                <w:ilvl w:val="0"/>
                <w:numId w:val="9"/>
              </w:numPr>
              <w:spacing w:after="0"/>
              <w:jc w:val="both"/>
              <w:rPr>
                <w:rFonts w:ascii="Arial" w:hAnsi="Arial"/>
                <w:sz w:val="20"/>
              </w:rPr>
            </w:pPr>
            <w:r>
              <w:rPr>
                <w:rFonts w:ascii="Arial" w:hAnsi="Arial"/>
                <w:sz w:val="20"/>
              </w:rPr>
              <w:t>A complicated treatment plan</w:t>
            </w:r>
            <w:r>
              <w:rPr>
                <w:rFonts w:ascii="Arial" w:hAnsi="Arial"/>
                <w:b/>
                <w:sz w:val="20"/>
              </w:rPr>
              <w:t xml:space="preserve"> </w:t>
            </w:r>
          </w:p>
          <w:p w:rsidR="00493300" w:rsidRDefault="00493300" w:rsidP="00493300">
            <w:pPr>
              <w:numPr>
                <w:ilvl w:val="0"/>
                <w:numId w:val="9"/>
              </w:numPr>
              <w:spacing w:after="0"/>
              <w:jc w:val="both"/>
              <w:rPr>
                <w:rFonts w:ascii="Arial" w:hAnsi="Arial"/>
                <w:sz w:val="20"/>
              </w:rPr>
            </w:pPr>
            <w:r>
              <w:rPr>
                <w:rFonts w:ascii="Arial" w:hAnsi="Arial"/>
                <w:sz w:val="20"/>
              </w:rPr>
              <w:t>Liver failure</w:t>
            </w:r>
          </w:p>
          <w:p w:rsidR="00493300" w:rsidRDefault="00493300" w:rsidP="00493300">
            <w:pPr>
              <w:numPr>
                <w:ilvl w:val="0"/>
                <w:numId w:val="9"/>
              </w:numPr>
              <w:spacing w:after="0"/>
              <w:jc w:val="both"/>
              <w:rPr>
                <w:rFonts w:ascii="Arial" w:hAnsi="Arial"/>
                <w:sz w:val="20"/>
              </w:rPr>
            </w:pPr>
            <w:r>
              <w:rPr>
                <w:rFonts w:ascii="Arial" w:hAnsi="Arial"/>
                <w:sz w:val="20"/>
              </w:rPr>
              <w:t xml:space="preserve">Documented evidence of CNS </w:t>
            </w:r>
            <w:proofErr w:type="spellStart"/>
            <w:r>
              <w:rPr>
                <w:rFonts w:ascii="Arial" w:hAnsi="Arial"/>
                <w:sz w:val="20"/>
              </w:rPr>
              <w:t>haemorrhage</w:t>
            </w:r>
            <w:proofErr w:type="spellEnd"/>
            <w:r>
              <w:rPr>
                <w:rFonts w:ascii="Arial" w:hAnsi="Arial"/>
                <w:sz w:val="20"/>
              </w:rPr>
              <w:t xml:space="preserve"> in the previous 6 months who still need specialist </w:t>
            </w:r>
            <w:proofErr w:type="spellStart"/>
            <w:r>
              <w:rPr>
                <w:rFonts w:ascii="Arial" w:hAnsi="Arial"/>
                <w:sz w:val="20"/>
              </w:rPr>
              <w:t>haematology</w:t>
            </w:r>
            <w:proofErr w:type="spellEnd"/>
            <w:r>
              <w:rPr>
                <w:rFonts w:ascii="Arial" w:hAnsi="Arial"/>
                <w:sz w:val="20"/>
              </w:rPr>
              <w:t xml:space="preserve"> support  </w:t>
            </w:r>
          </w:p>
          <w:p w:rsidR="00493300" w:rsidRDefault="00493300" w:rsidP="00493300">
            <w:pPr>
              <w:numPr>
                <w:ilvl w:val="0"/>
                <w:numId w:val="9"/>
              </w:numPr>
              <w:spacing w:after="0"/>
              <w:jc w:val="both"/>
              <w:rPr>
                <w:rFonts w:ascii="Arial" w:hAnsi="Arial"/>
                <w:sz w:val="20"/>
              </w:rPr>
            </w:pPr>
            <w:r>
              <w:rPr>
                <w:rFonts w:ascii="Arial" w:hAnsi="Arial"/>
                <w:sz w:val="20"/>
              </w:rPr>
              <w:t xml:space="preserve">A history of gastric-intestinal bleeding in the previous 6 months and still need specialist </w:t>
            </w:r>
            <w:proofErr w:type="spellStart"/>
            <w:r>
              <w:rPr>
                <w:rFonts w:ascii="Arial" w:hAnsi="Arial"/>
                <w:sz w:val="20"/>
              </w:rPr>
              <w:t>haematology</w:t>
            </w:r>
            <w:proofErr w:type="spellEnd"/>
            <w:r>
              <w:rPr>
                <w:rFonts w:ascii="Arial" w:hAnsi="Arial"/>
                <w:sz w:val="20"/>
              </w:rPr>
              <w:t xml:space="preserve"> support;</w:t>
            </w:r>
          </w:p>
          <w:p w:rsidR="00493300" w:rsidRDefault="00493300" w:rsidP="00493300">
            <w:pPr>
              <w:numPr>
                <w:ilvl w:val="0"/>
                <w:numId w:val="9"/>
              </w:numPr>
              <w:spacing w:after="0"/>
              <w:jc w:val="both"/>
              <w:rPr>
                <w:rFonts w:ascii="Arial" w:hAnsi="Arial"/>
                <w:sz w:val="20"/>
              </w:rPr>
            </w:pPr>
            <w:r>
              <w:rPr>
                <w:rFonts w:ascii="Arial" w:hAnsi="Arial"/>
                <w:sz w:val="20"/>
              </w:rPr>
              <w:t>Age under 18</w:t>
            </w:r>
          </w:p>
          <w:p w:rsidR="00493300" w:rsidRDefault="00493300" w:rsidP="00493300">
            <w:pPr>
              <w:numPr>
                <w:ilvl w:val="0"/>
                <w:numId w:val="9"/>
              </w:numPr>
              <w:spacing w:after="0"/>
              <w:jc w:val="both"/>
              <w:rPr>
                <w:rFonts w:ascii="Arial" w:hAnsi="Arial"/>
                <w:sz w:val="20"/>
              </w:rPr>
            </w:pPr>
            <w:r>
              <w:rPr>
                <w:rFonts w:ascii="Arial" w:hAnsi="Arial"/>
                <w:sz w:val="20"/>
              </w:rPr>
              <w:t>Pregnancy</w:t>
            </w:r>
          </w:p>
          <w:p w:rsidR="00493300" w:rsidRDefault="00493300" w:rsidP="00493300">
            <w:pPr>
              <w:numPr>
                <w:ilvl w:val="0"/>
                <w:numId w:val="9"/>
              </w:numPr>
              <w:spacing w:after="0"/>
              <w:jc w:val="both"/>
              <w:rPr>
                <w:rFonts w:ascii="Arial" w:hAnsi="Arial"/>
                <w:sz w:val="20"/>
              </w:rPr>
            </w:pPr>
            <w:r>
              <w:rPr>
                <w:rFonts w:ascii="Arial" w:hAnsi="Arial"/>
                <w:sz w:val="20"/>
              </w:rPr>
              <w:t xml:space="preserve">No registration at a </w:t>
            </w:r>
            <w:proofErr w:type="spellStart"/>
            <w:r>
              <w:rPr>
                <w:rFonts w:ascii="Arial" w:hAnsi="Arial"/>
                <w:sz w:val="20"/>
              </w:rPr>
              <w:t>Newham</w:t>
            </w:r>
            <w:proofErr w:type="spellEnd"/>
            <w:r>
              <w:rPr>
                <w:rFonts w:ascii="Arial" w:hAnsi="Arial"/>
                <w:sz w:val="20"/>
              </w:rPr>
              <w:t xml:space="preserve"> GP practice</w:t>
            </w:r>
          </w:p>
          <w:p w:rsidR="00493300" w:rsidRDefault="00493300" w:rsidP="00493300">
            <w:pPr>
              <w:numPr>
                <w:ilvl w:val="0"/>
                <w:numId w:val="9"/>
              </w:numPr>
              <w:spacing w:after="0"/>
              <w:jc w:val="both"/>
              <w:rPr>
                <w:rFonts w:ascii="Arial" w:hAnsi="Arial"/>
                <w:sz w:val="20"/>
              </w:rPr>
            </w:pPr>
            <w:r>
              <w:rPr>
                <w:rFonts w:ascii="Arial" w:hAnsi="Arial"/>
                <w:sz w:val="20"/>
              </w:rPr>
              <w:t>A known alcohol problem;</w:t>
            </w:r>
          </w:p>
          <w:p w:rsidR="00493300" w:rsidRDefault="00493300" w:rsidP="00493300">
            <w:pPr>
              <w:numPr>
                <w:ilvl w:val="0"/>
                <w:numId w:val="9"/>
              </w:numPr>
              <w:spacing w:after="0"/>
              <w:jc w:val="both"/>
              <w:rPr>
                <w:rFonts w:ascii="Arial" w:hAnsi="Arial"/>
                <w:sz w:val="20"/>
              </w:rPr>
            </w:pPr>
            <w:r>
              <w:rPr>
                <w:rFonts w:ascii="Arial" w:hAnsi="Arial"/>
                <w:sz w:val="20"/>
              </w:rPr>
              <w:t>IV drug users;</w:t>
            </w:r>
          </w:p>
          <w:p w:rsidR="00493300" w:rsidRDefault="00493300" w:rsidP="00493300">
            <w:pPr>
              <w:numPr>
                <w:ilvl w:val="0"/>
                <w:numId w:val="9"/>
              </w:numPr>
              <w:spacing w:after="0"/>
              <w:jc w:val="both"/>
              <w:rPr>
                <w:rFonts w:ascii="Arial" w:hAnsi="Arial"/>
                <w:sz w:val="20"/>
              </w:rPr>
            </w:pPr>
            <w:r>
              <w:rPr>
                <w:rFonts w:ascii="Arial" w:hAnsi="Arial"/>
                <w:sz w:val="20"/>
              </w:rPr>
              <w:t xml:space="preserve">On chemotherapy for malignant </w:t>
            </w:r>
            <w:proofErr w:type="spellStart"/>
            <w:r>
              <w:rPr>
                <w:rFonts w:ascii="Arial" w:hAnsi="Arial"/>
                <w:sz w:val="20"/>
              </w:rPr>
              <w:t>tumours</w:t>
            </w:r>
            <w:proofErr w:type="spellEnd"/>
            <w:r>
              <w:rPr>
                <w:rFonts w:ascii="Arial" w:hAnsi="Arial"/>
                <w:sz w:val="20"/>
              </w:rPr>
              <w:t>;</w:t>
            </w:r>
          </w:p>
          <w:p w:rsidR="00493300" w:rsidRDefault="00493300" w:rsidP="00493300">
            <w:pPr>
              <w:numPr>
                <w:ilvl w:val="0"/>
                <w:numId w:val="9"/>
              </w:numPr>
              <w:spacing w:after="0"/>
              <w:jc w:val="both"/>
              <w:rPr>
                <w:rFonts w:ascii="Arial" w:hAnsi="Arial"/>
                <w:sz w:val="20"/>
              </w:rPr>
            </w:pPr>
            <w:r>
              <w:rPr>
                <w:rFonts w:ascii="Arial" w:hAnsi="Arial"/>
                <w:sz w:val="20"/>
              </w:rPr>
              <w:t xml:space="preserve">Patients with Lupus / </w:t>
            </w:r>
            <w:proofErr w:type="spellStart"/>
            <w:r>
              <w:rPr>
                <w:rFonts w:ascii="Arial" w:hAnsi="Arial"/>
                <w:sz w:val="20"/>
              </w:rPr>
              <w:t>antiphosphilipid</w:t>
            </w:r>
            <w:proofErr w:type="spellEnd"/>
            <w:r>
              <w:rPr>
                <w:rFonts w:ascii="Arial" w:hAnsi="Arial"/>
                <w:sz w:val="20"/>
              </w:rPr>
              <w:t xml:space="preserve"> syndrome who need venous sample;</w:t>
            </w:r>
          </w:p>
          <w:p w:rsidR="00493300" w:rsidRDefault="00493300" w:rsidP="00FC67B3">
            <w:pPr>
              <w:jc w:val="both"/>
              <w:rPr>
                <w:rFonts w:ascii="Arial" w:hAnsi="Arial"/>
                <w:sz w:val="20"/>
              </w:rPr>
            </w:pPr>
          </w:p>
          <w:p w:rsidR="00493300" w:rsidRDefault="00493300" w:rsidP="00FC67B3">
            <w:pPr>
              <w:jc w:val="both"/>
              <w:rPr>
                <w:rFonts w:ascii="Arial" w:hAnsi="Arial"/>
                <w:b/>
                <w:sz w:val="20"/>
              </w:rPr>
            </w:pPr>
            <w:r>
              <w:rPr>
                <w:rFonts w:ascii="Arial" w:hAnsi="Arial"/>
                <w:b/>
                <w:sz w:val="20"/>
              </w:rPr>
              <w:t xml:space="preserve">3.4.2 Referral route </w:t>
            </w:r>
          </w:p>
          <w:p w:rsidR="00493300" w:rsidRDefault="00493300" w:rsidP="00FC67B3">
            <w:pPr>
              <w:jc w:val="both"/>
              <w:rPr>
                <w:rFonts w:ascii="Arial" w:hAnsi="Arial"/>
                <w:sz w:val="20"/>
              </w:rPr>
            </w:pPr>
            <w:r>
              <w:rPr>
                <w:rFonts w:ascii="Arial" w:hAnsi="Arial"/>
                <w:sz w:val="20"/>
              </w:rPr>
              <w:t>Patients will be referred to the named anticoagulant provider of patient choice.</w:t>
            </w:r>
          </w:p>
          <w:p w:rsidR="00493300" w:rsidRDefault="00493300" w:rsidP="00FC67B3">
            <w:pPr>
              <w:jc w:val="both"/>
              <w:rPr>
                <w:rFonts w:ascii="Arial" w:hAnsi="Arial"/>
                <w:sz w:val="20"/>
              </w:rPr>
            </w:pPr>
            <w:r>
              <w:rPr>
                <w:rFonts w:ascii="Arial" w:hAnsi="Arial"/>
                <w:sz w:val="20"/>
              </w:rPr>
              <w:t>All referral forms and supporting documents will be fully completed and signed by the referring clinician</w:t>
            </w:r>
          </w:p>
          <w:p w:rsidR="00493300" w:rsidRDefault="00493300" w:rsidP="00FC67B3">
            <w:pPr>
              <w:jc w:val="both"/>
              <w:rPr>
                <w:rFonts w:ascii="Arial" w:hAnsi="Arial"/>
                <w:sz w:val="20"/>
              </w:rPr>
            </w:pPr>
            <w:r>
              <w:rPr>
                <w:rFonts w:ascii="Arial" w:hAnsi="Arial"/>
                <w:sz w:val="20"/>
              </w:rPr>
              <w:lastRenderedPageBreak/>
              <w:t>All referrals and written communications between health professionals will be sent via safe nhs.net email or a secure fax system.</w:t>
            </w:r>
          </w:p>
          <w:p w:rsidR="00493300" w:rsidRDefault="00493300" w:rsidP="00FC67B3">
            <w:pPr>
              <w:jc w:val="both"/>
              <w:rPr>
                <w:rFonts w:ascii="Arial" w:hAnsi="Arial"/>
                <w:sz w:val="20"/>
              </w:rPr>
            </w:pPr>
            <w:r>
              <w:rPr>
                <w:rFonts w:ascii="Arial" w:hAnsi="Arial"/>
                <w:sz w:val="20"/>
              </w:rPr>
              <w:t>The provider will confirm receipt of referral and the appointment date for the patients first appointment with referring HCP</w:t>
            </w:r>
          </w:p>
          <w:p w:rsidR="00493300" w:rsidRDefault="00493300" w:rsidP="00FC67B3">
            <w:pPr>
              <w:jc w:val="both"/>
              <w:rPr>
                <w:rFonts w:ascii="Arial" w:hAnsi="Arial"/>
                <w:sz w:val="20"/>
              </w:rPr>
            </w:pPr>
            <w:r>
              <w:rPr>
                <w:rFonts w:ascii="Arial" w:hAnsi="Arial"/>
                <w:sz w:val="20"/>
              </w:rPr>
              <w:t>It will be the providers responsibility to contact patient with appointment details</w:t>
            </w:r>
          </w:p>
          <w:p w:rsidR="00493300" w:rsidRDefault="00493300" w:rsidP="00FC67B3">
            <w:pPr>
              <w:spacing w:after="0"/>
              <w:rPr>
                <w:rFonts w:ascii="Arial" w:hAnsi="Arial" w:cs="Arial"/>
                <w:color w:val="009966"/>
                <w:sz w:val="20"/>
              </w:rPr>
            </w:pPr>
          </w:p>
          <w:p w:rsidR="00493300" w:rsidRDefault="00493300" w:rsidP="00FC67B3">
            <w:pPr>
              <w:spacing w:after="0"/>
              <w:rPr>
                <w:rFonts w:ascii="Arial" w:hAnsi="Arial" w:cs="Arial"/>
                <w:b/>
                <w:color w:val="009966"/>
                <w:sz w:val="20"/>
              </w:rPr>
            </w:pPr>
            <w:r>
              <w:rPr>
                <w:rFonts w:ascii="Arial" w:hAnsi="Arial" w:cs="Arial"/>
                <w:b/>
                <w:color w:val="009966"/>
                <w:sz w:val="20"/>
              </w:rPr>
              <w:t>3.5</w:t>
            </w:r>
            <w:r>
              <w:rPr>
                <w:rFonts w:ascii="Arial" w:hAnsi="Arial" w:cs="Arial"/>
                <w:b/>
                <w:color w:val="009966"/>
                <w:sz w:val="20"/>
              </w:rPr>
              <w:tab/>
              <w:t>Interdependence with other services/providers</w:t>
            </w:r>
          </w:p>
          <w:p w:rsidR="00493300" w:rsidRDefault="00493300" w:rsidP="00FC67B3">
            <w:pPr>
              <w:spacing w:after="0"/>
              <w:rPr>
                <w:rFonts w:ascii="Arial" w:hAnsi="Arial" w:cs="Arial"/>
                <w:b/>
                <w:color w:val="009966"/>
                <w:sz w:val="20"/>
              </w:rPr>
            </w:pPr>
          </w:p>
          <w:p w:rsidR="00493300" w:rsidRDefault="00493300" w:rsidP="00FC67B3">
            <w:pPr>
              <w:spacing w:after="0"/>
              <w:rPr>
                <w:rFonts w:ascii="Arial" w:hAnsi="Arial" w:cs="Arial"/>
                <w:sz w:val="20"/>
              </w:rPr>
            </w:pPr>
            <w:r>
              <w:rPr>
                <w:rFonts w:ascii="Arial" w:hAnsi="Arial" w:cs="Arial"/>
                <w:sz w:val="20"/>
              </w:rPr>
              <w:t>The provider will work and develop their service within the community anticoagulant service provider network, with invitations from the commissioner to attend local training events. The provider will attend all quarterly anticoagulation contract meetings for clinical, service and contractual discussions. All service providers within this network are expected support operational policy developments and participate in service redesign from a clinical expertise perspective.</w:t>
            </w:r>
          </w:p>
          <w:p w:rsidR="00493300" w:rsidRDefault="00493300" w:rsidP="00FC67B3">
            <w:pPr>
              <w:spacing w:after="0"/>
              <w:rPr>
                <w:rFonts w:ascii="Arial" w:hAnsi="Arial" w:cs="Arial"/>
                <w:sz w:val="20"/>
              </w:rPr>
            </w:pPr>
          </w:p>
          <w:p w:rsidR="00493300" w:rsidRDefault="00493300" w:rsidP="00FC67B3">
            <w:pPr>
              <w:spacing w:after="0"/>
              <w:rPr>
                <w:rFonts w:ascii="Arial" w:hAnsi="Arial" w:cs="Arial"/>
                <w:sz w:val="20"/>
              </w:rPr>
            </w:pPr>
            <w:r>
              <w:rPr>
                <w:rFonts w:ascii="Arial" w:hAnsi="Arial" w:cs="Arial"/>
                <w:sz w:val="20"/>
              </w:rPr>
              <w:t xml:space="preserve">The provider will support the integrated approach between services and other providers. Ensuring all relevant patient records are transferred appropriately so as to support seamless patient transfers. </w:t>
            </w:r>
          </w:p>
          <w:p w:rsidR="00493300" w:rsidRDefault="00493300" w:rsidP="00FC67B3">
            <w:pPr>
              <w:spacing w:after="0"/>
              <w:rPr>
                <w:rFonts w:ascii="Arial" w:hAnsi="Arial" w:cs="Arial"/>
                <w:sz w:val="20"/>
              </w:rPr>
            </w:pPr>
          </w:p>
        </w:tc>
      </w:tr>
      <w:tr w:rsidR="00493300" w:rsidTr="00FC67B3">
        <w:tc>
          <w:tcPr>
            <w:tcW w:w="8556"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276" w:lineRule="auto"/>
              <w:rPr>
                <w:rFonts w:ascii="Arial" w:hAnsi="Arial" w:cs="Arial"/>
                <w:b/>
                <w:color w:val="F79646"/>
              </w:rPr>
            </w:pPr>
            <w:r>
              <w:rPr>
                <w:rFonts w:ascii="Arial" w:hAnsi="Arial" w:cs="Arial"/>
                <w:b/>
                <w:color w:val="F79646"/>
              </w:rPr>
              <w:lastRenderedPageBreak/>
              <w:t>4.</w:t>
            </w:r>
            <w:r>
              <w:rPr>
                <w:rFonts w:ascii="Arial" w:hAnsi="Arial" w:cs="Arial"/>
                <w:b/>
                <w:color w:val="F79646"/>
              </w:rPr>
              <w:tab/>
              <w:t>Applicable Service Standards</w:t>
            </w:r>
          </w:p>
        </w:tc>
      </w:tr>
      <w:tr w:rsidR="00493300" w:rsidTr="00FC67B3">
        <w:tc>
          <w:tcPr>
            <w:tcW w:w="8556"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rPr>
                <w:rFonts w:ascii="Arial" w:hAnsi="Arial" w:cs="Arial"/>
                <w:sz w:val="20"/>
              </w:rPr>
            </w:pPr>
          </w:p>
          <w:p w:rsidR="00493300" w:rsidRDefault="00493300" w:rsidP="00FC67B3">
            <w:pPr>
              <w:spacing w:after="0"/>
              <w:rPr>
                <w:rFonts w:ascii="Arial" w:hAnsi="Arial" w:cs="Arial"/>
                <w:b/>
                <w:color w:val="009966"/>
                <w:sz w:val="20"/>
              </w:rPr>
            </w:pPr>
            <w:r>
              <w:rPr>
                <w:rFonts w:ascii="Arial" w:hAnsi="Arial" w:cs="Arial"/>
                <w:b/>
                <w:color w:val="009966"/>
                <w:sz w:val="20"/>
              </w:rPr>
              <w:t>4.1</w:t>
            </w:r>
            <w:r>
              <w:rPr>
                <w:rFonts w:ascii="Arial" w:hAnsi="Arial" w:cs="Arial"/>
                <w:b/>
                <w:color w:val="009966"/>
                <w:sz w:val="20"/>
              </w:rPr>
              <w:tab/>
              <w:t>Applicable national standards (</w:t>
            </w:r>
            <w:proofErr w:type="spellStart"/>
            <w:r>
              <w:rPr>
                <w:rFonts w:ascii="Arial" w:hAnsi="Arial" w:cs="Arial"/>
                <w:b/>
                <w:color w:val="009966"/>
                <w:sz w:val="20"/>
              </w:rPr>
              <w:t>eg</w:t>
            </w:r>
            <w:proofErr w:type="spellEnd"/>
            <w:r>
              <w:rPr>
                <w:rFonts w:ascii="Arial" w:hAnsi="Arial" w:cs="Arial"/>
                <w:b/>
                <w:color w:val="009966"/>
                <w:sz w:val="20"/>
              </w:rPr>
              <w:t xml:space="preserve"> NICE)</w:t>
            </w:r>
          </w:p>
          <w:p w:rsidR="00493300" w:rsidRDefault="00493300" w:rsidP="00FC67B3">
            <w:pPr>
              <w:spacing w:after="0"/>
              <w:rPr>
                <w:rFonts w:ascii="Arial" w:hAnsi="Arial" w:cs="Arial"/>
                <w:b/>
                <w:color w:val="009966"/>
                <w:sz w:val="20"/>
              </w:rPr>
            </w:pPr>
          </w:p>
          <w:p w:rsidR="00493300" w:rsidRDefault="00493300" w:rsidP="00FC67B3">
            <w:pPr>
              <w:spacing w:after="0"/>
              <w:rPr>
                <w:rFonts w:ascii="Arial" w:hAnsi="Arial" w:cs="Arial"/>
                <w:color w:val="000000" w:themeColor="text1"/>
                <w:sz w:val="20"/>
              </w:rPr>
            </w:pPr>
            <w:r>
              <w:rPr>
                <w:rFonts w:ascii="Arial" w:hAnsi="Arial" w:cs="Arial"/>
                <w:color w:val="000000" w:themeColor="text1"/>
                <w:sz w:val="20"/>
              </w:rPr>
              <w:t>NICE Guidance - Atrial fibrillation: the management of atrial fibrillation</w:t>
            </w:r>
          </w:p>
          <w:p w:rsidR="00493300" w:rsidRDefault="00493300" w:rsidP="00FC67B3">
            <w:pPr>
              <w:spacing w:after="0"/>
              <w:rPr>
                <w:rFonts w:ascii="Arial" w:hAnsi="Arial" w:cs="Arial"/>
                <w:color w:val="000000" w:themeColor="text1"/>
                <w:sz w:val="20"/>
              </w:rPr>
            </w:pPr>
            <w:r>
              <w:rPr>
                <w:rFonts w:ascii="Arial" w:hAnsi="Arial" w:cs="Arial"/>
                <w:color w:val="000000" w:themeColor="text1"/>
                <w:sz w:val="20"/>
              </w:rPr>
              <w:t>NICE guidelines CG180. Published date: June 2014</w:t>
            </w:r>
          </w:p>
          <w:p w:rsidR="00493300" w:rsidRDefault="00493300" w:rsidP="00FC67B3">
            <w:pPr>
              <w:spacing w:after="0"/>
              <w:rPr>
                <w:rStyle w:val="Hyperlink"/>
              </w:rPr>
            </w:pPr>
            <w:hyperlink r:id="rId6" w:history="1">
              <w:r>
                <w:rPr>
                  <w:rStyle w:val="Hyperlink"/>
                  <w:rFonts w:ascii="Arial" w:hAnsi="Arial" w:cs="Arial"/>
                  <w:sz w:val="20"/>
                </w:rPr>
                <w:t>https://www.nice.org.uk/guidance/CG180</w:t>
              </w:r>
            </w:hyperlink>
          </w:p>
          <w:p w:rsidR="00493300" w:rsidRDefault="00493300" w:rsidP="00FC67B3">
            <w:pPr>
              <w:spacing w:after="0"/>
              <w:rPr>
                <w:rStyle w:val="Hyperlink"/>
                <w:rFonts w:ascii="Arial" w:hAnsi="Arial" w:cs="Arial"/>
                <w:sz w:val="20"/>
              </w:rPr>
            </w:pPr>
          </w:p>
          <w:p w:rsidR="00493300" w:rsidRDefault="00493300" w:rsidP="00FC67B3">
            <w:pPr>
              <w:spacing w:after="0"/>
              <w:rPr>
                <w:b/>
              </w:rPr>
            </w:pPr>
            <w:r>
              <w:rPr>
                <w:rStyle w:val="Hyperlink"/>
                <w:rFonts w:ascii="Arial" w:hAnsi="Arial" w:cs="Arial"/>
                <w:sz w:val="20"/>
              </w:rPr>
              <w:t xml:space="preserve">NICE Implementation Collaborative </w:t>
            </w:r>
            <w:proofErr w:type="spellStart"/>
            <w:r>
              <w:rPr>
                <w:rStyle w:val="Hyperlink"/>
                <w:rFonts w:ascii="Arial" w:hAnsi="Arial" w:cs="Arial"/>
                <w:sz w:val="20"/>
              </w:rPr>
              <w:t>Consesus</w:t>
            </w:r>
            <w:proofErr w:type="spellEnd"/>
            <w:r>
              <w:rPr>
                <w:rStyle w:val="Hyperlink"/>
                <w:rFonts w:ascii="Arial" w:hAnsi="Arial" w:cs="Arial"/>
                <w:sz w:val="20"/>
              </w:rPr>
              <w:t xml:space="preserve">- Supporting local use of the </w:t>
            </w:r>
            <w:proofErr w:type="gramStart"/>
            <w:r>
              <w:rPr>
                <w:rStyle w:val="Hyperlink"/>
                <w:rFonts w:ascii="Arial" w:hAnsi="Arial" w:cs="Arial"/>
                <w:sz w:val="20"/>
              </w:rPr>
              <w:t>novel(</w:t>
            </w:r>
            <w:proofErr w:type="gramEnd"/>
            <w:r>
              <w:rPr>
                <w:rStyle w:val="Hyperlink"/>
                <w:rFonts w:ascii="Arial" w:hAnsi="Arial" w:cs="Arial"/>
                <w:sz w:val="20"/>
              </w:rPr>
              <w:t>non-vitamin K antagonist)oral anticoagulants in non-</w:t>
            </w:r>
            <w:proofErr w:type="spellStart"/>
            <w:r>
              <w:rPr>
                <w:rStyle w:val="Hyperlink"/>
                <w:rFonts w:ascii="Arial" w:hAnsi="Arial" w:cs="Arial"/>
                <w:sz w:val="20"/>
              </w:rPr>
              <w:t>valvular</w:t>
            </w:r>
            <w:proofErr w:type="spellEnd"/>
            <w:r>
              <w:rPr>
                <w:rStyle w:val="Hyperlink"/>
                <w:rFonts w:ascii="Arial" w:hAnsi="Arial" w:cs="Arial"/>
                <w:sz w:val="20"/>
              </w:rPr>
              <w:t xml:space="preserve"> atrial fibrillation. Published June 2014.</w:t>
            </w:r>
          </w:p>
          <w:p w:rsidR="00493300" w:rsidRDefault="00493300" w:rsidP="00FC67B3">
            <w:pPr>
              <w:spacing w:after="0"/>
              <w:rPr>
                <w:rFonts w:ascii="Arial" w:hAnsi="Arial" w:cs="Arial"/>
                <w:sz w:val="20"/>
              </w:rPr>
            </w:pPr>
            <w:hyperlink r:id="rId7" w:history="1">
              <w:r>
                <w:rPr>
                  <w:rStyle w:val="Hyperlink"/>
                  <w:rFonts w:ascii="Arial" w:hAnsi="Arial" w:cs="Arial"/>
                  <w:sz w:val="20"/>
                </w:rPr>
                <w:t>https://www.nice.org.uk/resource/CG180/pdf/c/cg180-atrial-fibrillation-nic-consensus-statement-on-the-use-of-noacs?id=gvyb3hjdqrcjtn6ytpwx3ydb64</w:t>
              </w:r>
            </w:hyperlink>
          </w:p>
          <w:p w:rsidR="00493300" w:rsidRDefault="00493300" w:rsidP="00FC67B3">
            <w:pPr>
              <w:spacing w:after="0"/>
              <w:rPr>
                <w:rFonts w:ascii="Arial" w:hAnsi="Arial" w:cs="Arial"/>
                <w:sz w:val="20"/>
              </w:rPr>
            </w:pPr>
          </w:p>
          <w:p w:rsidR="00493300" w:rsidRDefault="00493300" w:rsidP="00FC67B3">
            <w:pPr>
              <w:spacing w:after="0"/>
              <w:rPr>
                <w:rFonts w:ascii="Arial" w:hAnsi="Arial" w:cs="Arial"/>
                <w:sz w:val="20"/>
              </w:rPr>
            </w:pPr>
            <w:r>
              <w:rPr>
                <w:rFonts w:ascii="Arial" w:hAnsi="Arial" w:cs="Arial"/>
                <w:sz w:val="20"/>
              </w:rPr>
              <w:t>National Patient Safety Agency</w:t>
            </w:r>
          </w:p>
          <w:p w:rsidR="00493300" w:rsidRDefault="00493300" w:rsidP="00FC67B3">
            <w:pPr>
              <w:spacing w:after="0"/>
              <w:rPr>
                <w:rFonts w:ascii="Arial" w:hAnsi="Arial" w:cs="Arial"/>
                <w:sz w:val="20"/>
              </w:rPr>
            </w:pPr>
            <w:r>
              <w:rPr>
                <w:rFonts w:ascii="Arial" w:hAnsi="Arial" w:cs="Arial"/>
                <w:sz w:val="20"/>
              </w:rPr>
              <w:t>Actions that can make anticoagulant therapy safer: Alert and other information</w:t>
            </w:r>
          </w:p>
          <w:p w:rsidR="00493300" w:rsidRDefault="00493300" w:rsidP="00FC67B3">
            <w:pPr>
              <w:spacing w:after="0"/>
              <w:rPr>
                <w:rFonts w:ascii="Arial" w:hAnsi="Arial" w:cs="Arial"/>
                <w:sz w:val="20"/>
              </w:rPr>
            </w:pPr>
            <w:r>
              <w:rPr>
                <w:rFonts w:ascii="Arial" w:hAnsi="Arial" w:cs="Arial"/>
                <w:sz w:val="20"/>
              </w:rPr>
              <w:t>NPSA/2007/18.</w:t>
            </w:r>
            <w:r>
              <w:t xml:space="preserve"> </w:t>
            </w:r>
            <w:r>
              <w:rPr>
                <w:rFonts w:ascii="Arial" w:hAnsi="Arial" w:cs="Arial"/>
                <w:sz w:val="20"/>
              </w:rPr>
              <w:t>DH Gateway reference7734</w:t>
            </w:r>
          </w:p>
          <w:p w:rsidR="00493300" w:rsidRDefault="00493300" w:rsidP="00FC67B3">
            <w:pPr>
              <w:spacing w:after="0"/>
              <w:rPr>
                <w:rFonts w:ascii="Arial" w:hAnsi="Arial" w:cs="Arial"/>
                <w:sz w:val="20"/>
              </w:rPr>
            </w:pPr>
            <w:hyperlink r:id="rId8" w:history="1">
              <w:r>
                <w:rPr>
                  <w:rStyle w:val="Hyperlink"/>
                </w:rPr>
                <w:t>h</w:t>
              </w:r>
              <w:r>
                <w:rPr>
                  <w:rStyle w:val="Hyperlink"/>
                  <w:rFonts w:ascii="Arial" w:hAnsi="Arial" w:cs="Arial"/>
                  <w:sz w:val="20"/>
                </w:rPr>
                <w:t>ttp://www.nrls.npsa.nhs.uk/resources/?entryid45=61790&amp;q=0%c2%acanticoagulant%c2%ac</w:t>
              </w:r>
            </w:hyperlink>
            <w:r>
              <w:rPr>
                <w:rFonts w:ascii="Arial" w:hAnsi="Arial" w:cs="Arial"/>
                <w:sz w:val="20"/>
              </w:rPr>
              <w:t xml:space="preserve"> </w:t>
            </w:r>
          </w:p>
          <w:p w:rsidR="00493300" w:rsidRDefault="00493300" w:rsidP="00FC67B3">
            <w:pPr>
              <w:spacing w:after="0"/>
              <w:rPr>
                <w:rFonts w:ascii="Arial" w:hAnsi="Arial" w:cs="Arial"/>
                <w:sz w:val="20"/>
              </w:rPr>
            </w:pPr>
          </w:p>
          <w:p w:rsidR="00493300" w:rsidRDefault="00493300" w:rsidP="00FC67B3">
            <w:pPr>
              <w:spacing w:after="0"/>
              <w:rPr>
                <w:rFonts w:ascii="Arial" w:hAnsi="Arial" w:cs="Arial"/>
                <w:sz w:val="20"/>
              </w:rPr>
            </w:pPr>
            <w:r>
              <w:rPr>
                <w:rFonts w:ascii="Arial" w:hAnsi="Arial" w:cs="Arial"/>
                <w:sz w:val="20"/>
              </w:rPr>
              <w:t xml:space="preserve">Recommendations from the British Committee for Standards in </w:t>
            </w:r>
            <w:proofErr w:type="spellStart"/>
            <w:r>
              <w:rPr>
                <w:rFonts w:ascii="Arial" w:hAnsi="Arial" w:cs="Arial"/>
                <w:sz w:val="20"/>
              </w:rPr>
              <w:t>Haematology</w:t>
            </w:r>
            <w:proofErr w:type="spellEnd"/>
            <w:r>
              <w:rPr>
                <w:rFonts w:ascii="Arial" w:hAnsi="Arial" w:cs="Arial"/>
                <w:sz w:val="20"/>
              </w:rPr>
              <w:t xml:space="preserve"> and National Patient Safety Agency </w:t>
            </w:r>
          </w:p>
          <w:p w:rsidR="00493300" w:rsidRDefault="00493300" w:rsidP="00FC67B3">
            <w:pPr>
              <w:spacing w:after="0"/>
              <w:rPr>
                <w:rFonts w:ascii="Arial" w:hAnsi="Arial" w:cs="Arial"/>
                <w:sz w:val="20"/>
              </w:rPr>
            </w:pPr>
            <w:r>
              <w:rPr>
                <w:rFonts w:ascii="Arial" w:hAnsi="Arial" w:cs="Arial"/>
                <w:sz w:val="20"/>
              </w:rPr>
              <w:t xml:space="preserve">British Journal of </w:t>
            </w:r>
            <w:proofErr w:type="spellStart"/>
            <w:r>
              <w:rPr>
                <w:rFonts w:ascii="Arial" w:hAnsi="Arial" w:cs="Arial"/>
                <w:sz w:val="20"/>
              </w:rPr>
              <w:t>Haematology</w:t>
            </w:r>
            <w:proofErr w:type="spellEnd"/>
            <w:r>
              <w:rPr>
                <w:rFonts w:ascii="Arial" w:hAnsi="Arial" w:cs="Arial"/>
                <w:sz w:val="20"/>
              </w:rPr>
              <w:t xml:space="preserve"> 2007, 136, 26-29</w:t>
            </w:r>
          </w:p>
          <w:p w:rsidR="00493300" w:rsidRDefault="00493300" w:rsidP="00FC67B3">
            <w:pPr>
              <w:spacing w:after="0"/>
              <w:rPr>
                <w:color w:val="009966"/>
              </w:rPr>
            </w:pPr>
            <w:hyperlink r:id="rId9" w:history="1">
              <w:r>
                <w:rPr>
                  <w:rStyle w:val="Hyperlink"/>
                  <w:rFonts w:ascii="Arial" w:hAnsi="Arial" w:cs="Arial"/>
                  <w:sz w:val="20"/>
                </w:rPr>
                <w:t>http://www.bcshguidelines.com/documents/safety_indicators_oral_anti_coag_bjh_2007.pdf</w:t>
              </w:r>
            </w:hyperlink>
          </w:p>
          <w:p w:rsidR="00493300" w:rsidRDefault="00493300" w:rsidP="00FC67B3">
            <w:pPr>
              <w:spacing w:after="0"/>
              <w:rPr>
                <w:color w:val="009966"/>
              </w:rPr>
            </w:pPr>
          </w:p>
          <w:p w:rsidR="00493300" w:rsidRDefault="00493300" w:rsidP="00FC67B3">
            <w:pPr>
              <w:spacing w:after="0"/>
              <w:rPr>
                <w:rFonts w:ascii="Arial" w:hAnsi="Arial" w:cs="Arial"/>
                <w:sz w:val="20"/>
              </w:rPr>
            </w:pPr>
            <w:r>
              <w:rPr>
                <w:rFonts w:ascii="Arial" w:hAnsi="Arial" w:cs="Arial"/>
                <w:sz w:val="20"/>
              </w:rPr>
              <w:t>The provider will note that the clinical management of patients outlined in this specification may be subject to changes in line with new and emerging national guidance and standards.</w:t>
            </w:r>
          </w:p>
          <w:p w:rsidR="00493300" w:rsidRDefault="00493300" w:rsidP="00FC67B3">
            <w:pPr>
              <w:spacing w:after="0"/>
              <w:rPr>
                <w:rFonts w:ascii="Arial" w:hAnsi="Arial" w:cs="Arial"/>
                <w:b/>
                <w:color w:val="009966"/>
                <w:sz w:val="20"/>
              </w:rPr>
            </w:pPr>
          </w:p>
          <w:p w:rsidR="00493300" w:rsidRDefault="00493300" w:rsidP="00FC67B3">
            <w:pPr>
              <w:spacing w:after="0"/>
              <w:rPr>
                <w:rFonts w:ascii="Arial" w:hAnsi="Arial" w:cs="Arial"/>
                <w:color w:val="009966"/>
                <w:sz w:val="20"/>
              </w:rPr>
            </w:pPr>
          </w:p>
          <w:p w:rsidR="00493300" w:rsidRDefault="00493300" w:rsidP="00FC67B3">
            <w:pPr>
              <w:spacing w:after="0"/>
              <w:ind w:left="743" w:hanging="743"/>
              <w:rPr>
                <w:rFonts w:ascii="Arial" w:hAnsi="Arial" w:cs="Arial"/>
                <w:b/>
                <w:color w:val="009966"/>
                <w:sz w:val="20"/>
              </w:rPr>
            </w:pPr>
            <w:r>
              <w:rPr>
                <w:rFonts w:ascii="Arial" w:hAnsi="Arial" w:cs="Arial"/>
                <w:b/>
                <w:color w:val="009966"/>
                <w:sz w:val="20"/>
              </w:rPr>
              <w:t>4.2</w:t>
            </w:r>
            <w:r>
              <w:rPr>
                <w:rFonts w:ascii="Arial" w:hAnsi="Arial" w:cs="Arial"/>
                <w:b/>
                <w:color w:val="009966"/>
                <w:sz w:val="20"/>
              </w:rPr>
              <w:tab/>
              <w:t>Applicable standards set out in Guidance and/or issued by a competent body (</w:t>
            </w:r>
            <w:proofErr w:type="spellStart"/>
            <w:r>
              <w:rPr>
                <w:rFonts w:ascii="Arial" w:hAnsi="Arial" w:cs="Arial"/>
                <w:b/>
                <w:color w:val="009966"/>
                <w:sz w:val="20"/>
              </w:rPr>
              <w:t>eg</w:t>
            </w:r>
            <w:proofErr w:type="spellEnd"/>
            <w:r>
              <w:rPr>
                <w:rFonts w:ascii="Arial" w:hAnsi="Arial" w:cs="Arial"/>
                <w:b/>
                <w:color w:val="009966"/>
                <w:sz w:val="20"/>
              </w:rPr>
              <w:t xml:space="preserve"> Royal Colleges) </w:t>
            </w:r>
          </w:p>
          <w:p w:rsidR="00493300" w:rsidRDefault="00493300" w:rsidP="00FC67B3">
            <w:pPr>
              <w:spacing w:after="0"/>
              <w:ind w:left="743" w:hanging="743"/>
              <w:rPr>
                <w:rFonts w:ascii="Arial" w:hAnsi="Arial" w:cs="Arial"/>
                <w:color w:val="009966"/>
                <w:sz w:val="20"/>
              </w:rPr>
            </w:pPr>
          </w:p>
          <w:p w:rsidR="00493300" w:rsidRDefault="00493300" w:rsidP="00FC67B3">
            <w:pPr>
              <w:spacing w:after="0"/>
              <w:rPr>
                <w:rFonts w:ascii="Arial" w:hAnsi="Arial" w:cs="Arial"/>
                <w:b/>
                <w:color w:val="009966"/>
                <w:sz w:val="20"/>
              </w:rPr>
            </w:pPr>
            <w:r>
              <w:rPr>
                <w:rFonts w:ascii="Arial" w:hAnsi="Arial" w:cs="Arial"/>
                <w:b/>
                <w:color w:val="009966"/>
                <w:sz w:val="20"/>
              </w:rPr>
              <w:t>4.3</w:t>
            </w:r>
            <w:r>
              <w:rPr>
                <w:rFonts w:ascii="Arial" w:hAnsi="Arial" w:cs="Arial"/>
                <w:b/>
                <w:color w:val="009966"/>
                <w:sz w:val="20"/>
              </w:rPr>
              <w:tab/>
              <w:t>Applicable local standards</w:t>
            </w:r>
          </w:p>
          <w:p w:rsidR="00493300" w:rsidRDefault="00493300" w:rsidP="00FC67B3">
            <w:pPr>
              <w:spacing w:after="0"/>
              <w:rPr>
                <w:rFonts w:ascii="Arial" w:hAnsi="Arial" w:cs="Arial"/>
                <w:b/>
                <w:color w:val="009966"/>
                <w:sz w:val="20"/>
              </w:rPr>
            </w:pPr>
          </w:p>
          <w:p w:rsidR="00493300" w:rsidRDefault="00493300" w:rsidP="00FC67B3">
            <w:pPr>
              <w:spacing w:after="0"/>
              <w:rPr>
                <w:rFonts w:ascii="Arial" w:hAnsi="Arial" w:cs="Arial"/>
                <w:sz w:val="20"/>
              </w:rPr>
            </w:pPr>
            <w:proofErr w:type="spellStart"/>
            <w:r>
              <w:rPr>
                <w:rFonts w:ascii="Arial" w:hAnsi="Arial" w:cs="Arial"/>
                <w:sz w:val="20"/>
              </w:rPr>
              <w:t>Newham</w:t>
            </w:r>
            <w:proofErr w:type="spellEnd"/>
            <w:r>
              <w:rPr>
                <w:rFonts w:ascii="Arial" w:hAnsi="Arial" w:cs="Arial"/>
                <w:sz w:val="20"/>
              </w:rPr>
              <w:t xml:space="preserve"> Protocol for Community Counseling and Commencing of Oral Anticoagulants for Atrial Fibrillation</w:t>
            </w:r>
          </w:p>
          <w:p w:rsidR="00493300" w:rsidRDefault="00493300" w:rsidP="00FC67B3">
            <w:pPr>
              <w:spacing w:after="0"/>
              <w:rPr>
                <w:rFonts w:ascii="Arial" w:hAnsi="Arial" w:cs="Arial"/>
                <w:sz w:val="20"/>
              </w:rPr>
            </w:pPr>
          </w:p>
          <w:p w:rsidR="00493300" w:rsidRDefault="00493300" w:rsidP="00FC67B3">
            <w:pPr>
              <w:rPr>
                <w:rFonts w:ascii="Arial" w:hAnsi="Arial"/>
                <w:color w:val="FF0000"/>
                <w:sz w:val="20"/>
              </w:rPr>
            </w:pPr>
            <w:proofErr w:type="spellStart"/>
            <w:r>
              <w:rPr>
                <w:rFonts w:ascii="Arial" w:hAnsi="Arial"/>
                <w:sz w:val="20"/>
              </w:rPr>
              <w:t>Newham</w:t>
            </w:r>
            <w:proofErr w:type="spellEnd"/>
            <w:r>
              <w:rPr>
                <w:rFonts w:ascii="Arial" w:hAnsi="Arial"/>
                <w:sz w:val="20"/>
              </w:rPr>
              <w:t xml:space="preserve"> Community Anticoagulation Protocol</w:t>
            </w:r>
          </w:p>
          <w:p w:rsidR="00493300" w:rsidRDefault="00493300" w:rsidP="00FC67B3">
            <w:pPr>
              <w:rPr>
                <w:rFonts w:ascii="Minion" w:hAnsi="Minion" w:cs="Minion"/>
                <w:color w:val="000000"/>
                <w:szCs w:val="24"/>
                <w:lang w:val="en-GB"/>
              </w:rPr>
            </w:pPr>
            <w:proofErr w:type="spellStart"/>
            <w:r>
              <w:rPr>
                <w:rFonts w:ascii="Arial" w:hAnsi="Arial"/>
                <w:sz w:val="20"/>
              </w:rPr>
              <w:lastRenderedPageBreak/>
              <w:t>Coaguchek</w:t>
            </w:r>
            <w:proofErr w:type="spellEnd"/>
            <w:r>
              <w:rPr>
                <w:rFonts w:ascii="Arial" w:hAnsi="Arial"/>
                <w:sz w:val="20"/>
              </w:rPr>
              <w:t xml:space="preserve"> XS Plus Standard Operating Procedure– BART’s Health</w:t>
            </w:r>
          </w:p>
          <w:p w:rsidR="00493300" w:rsidRDefault="00493300" w:rsidP="00FC67B3">
            <w:pPr>
              <w:rPr>
                <w:rFonts w:ascii="Arial" w:hAnsi="Arial" w:cs="Arial"/>
                <w:sz w:val="20"/>
                <w:u w:val="single"/>
              </w:rPr>
            </w:pPr>
            <w:r>
              <w:rPr>
                <w:rFonts w:ascii="Arial" w:hAnsi="Arial" w:cs="Arial"/>
                <w:bCs/>
                <w:color w:val="000000"/>
                <w:sz w:val="20"/>
                <w:lang w:val="en-GB"/>
              </w:rPr>
              <w:t xml:space="preserve">Cleaning guide for </w:t>
            </w:r>
            <w:proofErr w:type="spellStart"/>
            <w:r>
              <w:rPr>
                <w:rFonts w:ascii="Arial" w:hAnsi="Arial" w:cs="Arial"/>
                <w:bCs/>
                <w:color w:val="000000"/>
                <w:sz w:val="20"/>
                <w:lang w:val="en-GB"/>
              </w:rPr>
              <w:t>CoaguChek</w:t>
            </w:r>
            <w:proofErr w:type="spellEnd"/>
            <w:r>
              <w:rPr>
                <w:rFonts w:ascii="Arial" w:hAnsi="Arial" w:cs="Arial"/>
                <w:bCs/>
                <w:color w:val="000000"/>
                <w:sz w:val="20"/>
                <w:lang w:val="en-GB"/>
              </w:rPr>
              <w:t xml:space="preserve"> XS devices for Healthcare professionals – Roche Diagnostics</w:t>
            </w:r>
          </w:p>
        </w:tc>
        <w:bookmarkStart w:id="1" w:name="_GoBack"/>
        <w:bookmarkEnd w:id="1"/>
      </w:tr>
      <w:tr w:rsidR="00493300" w:rsidTr="00FC67B3">
        <w:tc>
          <w:tcPr>
            <w:tcW w:w="8556"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276" w:lineRule="auto"/>
              <w:rPr>
                <w:rFonts w:ascii="Arial" w:hAnsi="Arial" w:cs="Arial"/>
                <w:b/>
                <w:color w:val="F79646"/>
              </w:rPr>
            </w:pPr>
            <w:r>
              <w:rPr>
                <w:rFonts w:ascii="Arial" w:hAnsi="Arial" w:cs="Arial"/>
                <w:b/>
                <w:color w:val="F79646"/>
              </w:rPr>
              <w:lastRenderedPageBreak/>
              <w:t>5.</w:t>
            </w:r>
            <w:r>
              <w:rPr>
                <w:rFonts w:ascii="Arial" w:hAnsi="Arial" w:cs="Arial"/>
                <w:b/>
                <w:color w:val="F79646"/>
              </w:rPr>
              <w:tab/>
              <w:t>Applicable quality requirements and CQUIN goals</w:t>
            </w:r>
          </w:p>
        </w:tc>
      </w:tr>
      <w:tr w:rsidR="00493300" w:rsidTr="00FC67B3">
        <w:tc>
          <w:tcPr>
            <w:tcW w:w="8556"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rPr>
                <w:rFonts w:ascii="Arial" w:hAnsi="Arial" w:cs="Arial"/>
                <w:color w:val="009966"/>
                <w:sz w:val="20"/>
              </w:rPr>
            </w:pPr>
          </w:p>
          <w:p w:rsidR="00493300" w:rsidRDefault="00493300" w:rsidP="00493300">
            <w:pPr>
              <w:pStyle w:val="ListParagraph"/>
              <w:numPr>
                <w:ilvl w:val="1"/>
                <w:numId w:val="10"/>
              </w:numPr>
              <w:ind w:left="743" w:hanging="743"/>
              <w:rPr>
                <w:rFonts w:ascii="Arial" w:hAnsi="Arial" w:cs="Arial"/>
                <w:b/>
                <w:color w:val="00B050"/>
                <w:sz w:val="20"/>
                <w:szCs w:val="20"/>
                <w:lang w:eastAsia="ja-JP"/>
              </w:rPr>
            </w:pPr>
            <w:r>
              <w:rPr>
                <w:rFonts w:ascii="Arial" w:hAnsi="Arial" w:cs="Arial"/>
                <w:b/>
                <w:color w:val="00B050"/>
                <w:sz w:val="20"/>
                <w:szCs w:val="20"/>
                <w:lang w:eastAsia="ja-JP"/>
              </w:rPr>
              <w:t xml:space="preserve">Applicable Quality Requirements </w:t>
            </w:r>
          </w:p>
          <w:p w:rsidR="00493300" w:rsidRDefault="00493300" w:rsidP="00FC67B3">
            <w:pPr>
              <w:rPr>
                <w:rFonts w:ascii="Arial" w:hAnsi="Arial" w:cs="Arial"/>
                <w:b/>
                <w:color w:val="00B050"/>
                <w:sz w:val="20"/>
              </w:rPr>
            </w:pPr>
          </w:p>
          <w:p w:rsidR="00493300" w:rsidRDefault="00493300" w:rsidP="00FC67B3">
            <w:pPr>
              <w:rPr>
                <w:rFonts w:ascii="Arial" w:hAnsi="Arial" w:cs="Arial"/>
                <w:sz w:val="20"/>
              </w:rPr>
            </w:pPr>
            <w:r>
              <w:rPr>
                <w:rFonts w:ascii="Arial" w:hAnsi="Arial" w:cs="Arial"/>
                <w:sz w:val="20"/>
              </w:rPr>
              <w:t xml:space="preserve">The provider will be compliant with the </w:t>
            </w:r>
            <w:proofErr w:type="spellStart"/>
            <w:r>
              <w:rPr>
                <w:rFonts w:ascii="Arial" w:hAnsi="Arial" w:cs="Arial"/>
                <w:sz w:val="20"/>
              </w:rPr>
              <w:t>Newham</w:t>
            </w:r>
            <w:proofErr w:type="spellEnd"/>
            <w:r>
              <w:rPr>
                <w:rFonts w:ascii="Arial" w:hAnsi="Arial" w:cs="Arial"/>
                <w:sz w:val="20"/>
              </w:rPr>
              <w:t xml:space="preserve"> community anticoagulant and  point of care testing quality audits in support of those patients commencing warfarin</w:t>
            </w:r>
          </w:p>
          <w:p w:rsidR="00493300" w:rsidRDefault="00493300" w:rsidP="00FC67B3">
            <w:pPr>
              <w:spacing w:after="0"/>
              <w:rPr>
                <w:rFonts w:ascii="Arial" w:hAnsi="Arial" w:cs="Arial"/>
                <w:sz w:val="20"/>
              </w:rPr>
            </w:pPr>
            <w:r>
              <w:rPr>
                <w:rFonts w:ascii="Arial" w:hAnsi="Arial" w:cs="Arial"/>
                <w:sz w:val="20"/>
              </w:rPr>
              <w:t xml:space="preserve">The provider will be required to provide data to the commissioner as part of an audit process in relation to the contractual compliance of the service. </w:t>
            </w:r>
          </w:p>
          <w:p w:rsidR="00493300" w:rsidRDefault="00493300" w:rsidP="00FC67B3">
            <w:pPr>
              <w:spacing w:after="0"/>
              <w:rPr>
                <w:rFonts w:ascii="Arial" w:hAnsi="Arial" w:cs="Arial"/>
                <w:sz w:val="20"/>
              </w:rPr>
            </w:pPr>
          </w:p>
          <w:p w:rsidR="00493300" w:rsidRDefault="00493300" w:rsidP="00FC67B3">
            <w:pPr>
              <w:spacing w:after="0"/>
              <w:rPr>
                <w:rFonts w:ascii="Arial" w:hAnsi="Arial" w:cs="Arial"/>
                <w:sz w:val="20"/>
              </w:rPr>
            </w:pPr>
            <w:r>
              <w:rPr>
                <w:rFonts w:ascii="Arial" w:hAnsi="Arial" w:cs="Arial"/>
                <w:sz w:val="20"/>
              </w:rPr>
              <w:t>The minimum data required is:</w:t>
            </w:r>
          </w:p>
          <w:p w:rsidR="00493300" w:rsidRDefault="00493300" w:rsidP="00FC67B3">
            <w:pPr>
              <w:spacing w:after="0"/>
              <w:rPr>
                <w:rFonts w:ascii="Arial" w:hAnsi="Arial" w:cs="Arial"/>
                <w:sz w:val="20"/>
              </w:rPr>
            </w:pPr>
          </w:p>
          <w:p w:rsidR="00493300" w:rsidRDefault="00493300" w:rsidP="00FC67B3">
            <w:pPr>
              <w:spacing w:after="0"/>
              <w:rPr>
                <w:rFonts w:ascii="Arial" w:hAnsi="Arial" w:cs="Arial"/>
                <w:b/>
                <w:sz w:val="20"/>
              </w:rPr>
            </w:pPr>
            <w:r>
              <w:rPr>
                <w:rFonts w:ascii="Arial" w:hAnsi="Arial" w:cs="Arial"/>
                <w:b/>
                <w:sz w:val="20"/>
              </w:rPr>
              <w:t>Activity outcomes data</w:t>
            </w:r>
          </w:p>
          <w:tbl>
            <w:tblPr>
              <w:tblStyle w:val="TableGrid"/>
              <w:tblW w:w="0" w:type="auto"/>
              <w:tblInd w:w="29" w:type="dxa"/>
              <w:tblLook w:val="04A0" w:firstRow="1" w:lastRow="0" w:firstColumn="1" w:lastColumn="0" w:noHBand="0" w:noVBand="1"/>
            </w:tblPr>
            <w:tblGrid>
              <w:gridCol w:w="6237"/>
              <w:gridCol w:w="1701"/>
            </w:tblGrid>
            <w:tr w:rsidR="00493300" w:rsidTr="00FC67B3">
              <w:tc>
                <w:tcPr>
                  <w:tcW w:w="6237" w:type="dxa"/>
                  <w:tcBorders>
                    <w:top w:val="single" w:sz="4" w:space="0" w:color="auto"/>
                    <w:left w:val="single" w:sz="4" w:space="0" w:color="auto"/>
                    <w:bottom w:val="single" w:sz="4" w:space="0" w:color="auto"/>
                    <w:right w:val="single" w:sz="4" w:space="0" w:color="auto"/>
                  </w:tcBorders>
                  <w:hideMark/>
                </w:tcPr>
                <w:p w:rsidR="00493300" w:rsidRDefault="00493300" w:rsidP="00FC67B3">
                  <w:pPr>
                    <w:jc w:val="center"/>
                    <w:rPr>
                      <w:rFonts w:ascii="Arial" w:hAnsi="Arial" w:cs="Arial"/>
                      <w:b/>
                      <w:sz w:val="20"/>
                    </w:rPr>
                  </w:pPr>
                  <w:r>
                    <w:rPr>
                      <w:rFonts w:ascii="Arial" w:hAnsi="Arial" w:cs="Arial"/>
                      <w:b/>
                      <w:sz w:val="20"/>
                    </w:rPr>
                    <w:t>Indicator</w:t>
                  </w:r>
                </w:p>
              </w:tc>
              <w:tc>
                <w:tcPr>
                  <w:tcW w:w="1701" w:type="dxa"/>
                  <w:tcBorders>
                    <w:top w:val="single" w:sz="4" w:space="0" w:color="auto"/>
                    <w:left w:val="single" w:sz="4" w:space="0" w:color="auto"/>
                    <w:bottom w:val="single" w:sz="4" w:space="0" w:color="auto"/>
                    <w:right w:val="single" w:sz="4" w:space="0" w:color="auto"/>
                  </w:tcBorders>
                  <w:hideMark/>
                </w:tcPr>
                <w:p w:rsidR="00493300" w:rsidRDefault="00493300" w:rsidP="00FC67B3">
                  <w:pPr>
                    <w:jc w:val="center"/>
                    <w:rPr>
                      <w:rFonts w:ascii="Arial" w:hAnsi="Arial" w:cs="Arial"/>
                      <w:b/>
                      <w:sz w:val="20"/>
                    </w:rPr>
                  </w:pPr>
                  <w:r>
                    <w:rPr>
                      <w:rFonts w:ascii="Arial" w:hAnsi="Arial" w:cs="Arial"/>
                      <w:b/>
                      <w:sz w:val="20"/>
                    </w:rPr>
                    <w:t>Frequency</w:t>
                  </w:r>
                </w:p>
              </w:tc>
            </w:tr>
            <w:tr w:rsidR="00493300" w:rsidTr="00FC67B3">
              <w:tc>
                <w:tcPr>
                  <w:tcW w:w="6237" w:type="dxa"/>
                  <w:tcBorders>
                    <w:top w:val="single" w:sz="4" w:space="0" w:color="auto"/>
                    <w:left w:val="single" w:sz="4" w:space="0" w:color="auto"/>
                    <w:bottom w:val="single" w:sz="4" w:space="0" w:color="auto"/>
                    <w:right w:val="single" w:sz="4" w:space="0" w:color="auto"/>
                  </w:tcBorders>
                  <w:hideMark/>
                </w:tcPr>
                <w:p w:rsidR="00493300" w:rsidRDefault="00493300" w:rsidP="00FC67B3">
                  <w:pPr>
                    <w:rPr>
                      <w:rFonts w:ascii="Arial" w:hAnsi="Arial" w:cs="Arial"/>
                      <w:b/>
                      <w:sz w:val="20"/>
                    </w:rPr>
                  </w:pPr>
                  <w:r>
                    <w:rPr>
                      <w:rFonts w:ascii="Arial" w:hAnsi="Arial" w:cs="Arial"/>
                      <w:sz w:val="20"/>
                    </w:rPr>
                    <w:t>Number of atrial fibrillation patients referred for initiation</w:t>
                  </w:r>
                </w:p>
              </w:tc>
              <w:tc>
                <w:tcPr>
                  <w:tcW w:w="1701" w:type="dxa"/>
                  <w:tcBorders>
                    <w:top w:val="single" w:sz="4" w:space="0" w:color="auto"/>
                    <w:left w:val="single" w:sz="4" w:space="0" w:color="auto"/>
                    <w:bottom w:val="single" w:sz="4" w:space="0" w:color="auto"/>
                    <w:right w:val="single" w:sz="4" w:space="0" w:color="auto"/>
                  </w:tcBorders>
                  <w:hideMark/>
                </w:tcPr>
                <w:p w:rsidR="00493300" w:rsidRDefault="00493300" w:rsidP="00FC67B3">
                  <w:pPr>
                    <w:jc w:val="center"/>
                    <w:rPr>
                      <w:rFonts w:ascii="Arial" w:hAnsi="Arial" w:cs="Arial"/>
                      <w:sz w:val="20"/>
                    </w:rPr>
                  </w:pPr>
                  <w:r>
                    <w:rPr>
                      <w:rFonts w:ascii="Arial" w:hAnsi="Arial" w:cs="Arial"/>
                      <w:sz w:val="20"/>
                    </w:rPr>
                    <w:t>Quarterly</w:t>
                  </w:r>
                </w:p>
              </w:tc>
            </w:tr>
            <w:tr w:rsidR="00493300" w:rsidTr="00FC67B3">
              <w:tc>
                <w:tcPr>
                  <w:tcW w:w="6237" w:type="dxa"/>
                  <w:tcBorders>
                    <w:top w:val="single" w:sz="4" w:space="0" w:color="auto"/>
                    <w:left w:val="single" w:sz="4" w:space="0" w:color="auto"/>
                    <w:bottom w:val="single" w:sz="4" w:space="0" w:color="auto"/>
                    <w:right w:val="single" w:sz="4" w:space="0" w:color="auto"/>
                  </w:tcBorders>
                  <w:hideMark/>
                </w:tcPr>
                <w:p w:rsidR="00493300" w:rsidRDefault="00493300" w:rsidP="00FC67B3">
                  <w:pPr>
                    <w:rPr>
                      <w:rFonts w:ascii="Arial" w:hAnsi="Arial" w:cs="Arial"/>
                      <w:b/>
                      <w:sz w:val="20"/>
                    </w:rPr>
                  </w:pPr>
                  <w:r>
                    <w:rPr>
                      <w:rFonts w:ascii="Arial" w:hAnsi="Arial" w:cs="Arial"/>
                      <w:sz w:val="20"/>
                    </w:rPr>
                    <w:t>Number of patients referred to commence warfarin</w:t>
                  </w:r>
                </w:p>
              </w:tc>
              <w:tc>
                <w:tcPr>
                  <w:tcW w:w="1701" w:type="dxa"/>
                  <w:tcBorders>
                    <w:top w:val="single" w:sz="4" w:space="0" w:color="auto"/>
                    <w:left w:val="single" w:sz="4" w:space="0" w:color="auto"/>
                    <w:bottom w:val="single" w:sz="4" w:space="0" w:color="auto"/>
                    <w:right w:val="single" w:sz="4" w:space="0" w:color="auto"/>
                  </w:tcBorders>
                  <w:hideMark/>
                </w:tcPr>
                <w:p w:rsidR="00493300" w:rsidRDefault="00493300" w:rsidP="00FC67B3">
                  <w:pPr>
                    <w:jc w:val="center"/>
                    <w:rPr>
                      <w:rFonts w:ascii="Arial" w:hAnsi="Arial" w:cs="Arial"/>
                      <w:sz w:val="20"/>
                    </w:rPr>
                  </w:pPr>
                  <w:r>
                    <w:rPr>
                      <w:rFonts w:ascii="Arial" w:hAnsi="Arial" w:cs="Arial"/>
                      <w:sz w:val="20"/>
                    </w:rPr>
                    <w:t>Quarterly</w:t>
                  </w:r>
                </w:p>
              </w:tc>
            </w:tr>
            <w:tr w:rsidR="00493300" w:rsidTr="00FC67B3">
              <w:tc>
                <w:tcPr>
                  <w:tcW w:w="6237" w:type="dxa"/>
                  <w:tcBorders>
                    <w:top w:val="single" w:sz="4" w:space="0" w:color="auto"/>
                    <w:left w:val="single" w:sz="4" w:space="0" w:color="auto"/>
                    <w:bottom w:val="single" w:sz="4" w:space="0" w:color="auto"/>
                    <w:right w:val="single" w:sz="4" w:space="0" w:color="auto"/>
                  </w:tcBorders>
                  <w:hideMark/>
                </w:tcPr>
                <w:p w:rsidR="00493300" w:rsidRDefault="00493300" w:rsidP="00FC67B3">
                  <w:pPr>
                    <w:rPr>
                      <w:rFonts w:ascii="Arial" w:hAnsi="Arial" w:cs="Arial"/>
                      <w:b/>
                      <w:sz w:val="20"/>
                    </w:rPr>
                  </w:pPr>
                  <w:r>
                    <w:rPr>
                      <w:rFonts w:ascii="Arial" w:hAnsi="Arial" w:cs="Arial"/>
                      <w:sz w:val="20"/>
                    </w:rPr>
                    <w:t>Number of patients referred to commence NOAC’s</w:t>
                  </w:r>
                </w:p>
              </w:tc>
              <w:tc>
                <w:tcPr>
                  <w:tcW w:w="1701" w:type="dxa"/>
                  <w:tcBorders>
                    <w:top w:val="single" w:sz="4" w:space="0" w:color="auto"/>
                    <w:left w:val="single" w:sz="4" w:space="0" w:color="auto"/>
                    <w:bottom w:val="single" w:sz="4" w:space="0" w:color="auto"/>
                    <w:right w:val="single" w:sz="4" w:space="0" w:color="auto"/>
                  </w:tcBorders>
                  <w:hideMark/>
                </w:tcPr>
                <w:p w:rsidR="00493300" w:rsidRDefault="00493300" w:rsidP="00FC67B3">
                  <w:pPr>
                    <w:jc w:val="center"/>
                    <w:rPr>
                      <w:rFonts w:ascii="Arial" w:hAnsi="Arial" w:cs="Arial"/>
                      <w:sz w:val="20"/>
                    </w:rPr>
                  </w:pPr>
                  <w:r>
                    <w:rPr>
                      <w:rFonts w:ascii="Arial" w:hAnsi="Arial" w:cs="Arial"/>
                      <w:sz w:val="20"/>
                    </w:rPr>
                    <w:t>Quarterly</w:t>
                  </w:r>
                </w:p>
              </w:tc>
            </w:tr>
            <w:tr w:rsidR="00493300" w:rsidTr="00FC67B3">
              <w:tc>
                <w:tcPr>
                  <w:tcW w:w="6237" w:type="dxa"/>
                  <w:tcBorders>
                    <w:top w:val="single" w:sz="4" w:space="0" w:color="auto"/>
                    <w:left w:val="single" w:sz="4" w:space="0" w:color="auto"/>
                    <w:bottom w:val="single" w:sz="4" w:space="0" w:color="auto"/>
                    <w:right w:val="single" w:sz="4" w:space="0" w:color="auto"/>
                  </w:tcBorders>
                  <w:hideMark/>
                </w:tcPr>
                <w:p w:rsidR="00493300" w:rsidRDefault="00493300" w:rsidP="00FC67B3">
                  <w:pPr>
                    <w:rPr>
                      <w:rFonts w:ascii="Arial" w:hAnsi="Arial" w:cs="Arial"/>
                      <w:b/>
                      <w:sz w:val="20"/>
                    </w:rPr>
                  </w:pPr>
                  <w:r>
                    <w:rPr>
                      <w:rFonts w:ascii="Arial" w:hAnsi="Arial" w:cs="Arial"/>
                      <w:sz w:val="20"/>
                    </w:rPr>
                    <w:t>Number of patients referred but on exclusion criteria for community pathway</w:t>
                  </w:r>
                </w:p>
              </w:tc>
              <w:tc>
                <w:tcPr>
                  <w:tcW w:w="1701" w:type="dxa"/>
                  <w:tcBorders>
                    <w:top w:val="single" w:sz="4" w:space="0" w:color="auto"/>
                    <w:left w:val="single" w:sz="4" w:space="0" w:color="auto"/>
                    <w:bottom w:val="single" w:sz="4" w:space="0" w:color="auto"/>
                    <w:right w:val="single" w:sz="4" w:space="0" w:color="auto"/>
                  </w:tcBorders>
                  <w:hideMark/>
                </w:tcPr>
                <w:p w:rsidR="00493300" w:rsidRDefault="00493300" w:rsidP="00FC67B3">
                  <w:pPr>
                    <w:jc w:val="center"/>
                    <w:rPr>
                      <w:rFonts w:ascii="Arial" w:hAnsi="Arial" w:cs="Arial"/>
                      <w:sz w:val="20"/>
                    </w:rPr>
                  </w:pPr>
                  <w:r>
                    <w:rPr>
                      <w:rFonts w:ascii="Arial" w:hAnsi="Arial" w:cs="Arial"/>
                      <w:sz w:val="20"/>
                    </w:rPr>
                    <w:t>Quarterly</w:t>
                  </w:r>
                </w:p>
              </w:tc>
            </w:tr>
            <w:tr w:rsidR="00493300" w:rsidTr="00FC67B3">
              <w:tc>
                <w:tcPr>
                  <w:tcW w:w="6237" w:type="dxa"/>
                  <w:tcBorders>
                    <w:top w:val="single" w:sz="4" w:space="0" w:color="auto"/>
                    <w:left w:val="single" w:sz="4" w:space="0" w:color="auto"/>
                    <w:bottom w:val="single" w:sz="4" w:space="0" w:color="auto"/>
                    <w:right w:val="single" w:sz="4" w:space="0" w:color="auto"/>
                  </w:tcBorders>
                  <w:hideMark/>
                </w:tcPr>
                <w:p w:rsidR="00493300" w:rsidRDefault="00493300" w:rsidP="00FC67B3">
                  <w:pPr>
                    <w:jc w:val="both"/>
                    <w:rPr>
                      <w:rFonts w:ascii="Arial" w:hAnsi="Arial" w:cs="Arial"/>
                      <w:sz w:val="20"/>
                      <w:lang w:val="en-GB"/>
                    </w:rPr>
                  </w:pPr>
                  <w:r>
                    <w:rPr>
                      <w:rFonts w:ascii="Arial" w:hAnsi="Arial" w:cs="Arial"/>
                      <w:sz w:val="20"/>
                      <w:lang w:val="en-GB"/>
                    </w:rPr>
                    <w:t xml:space="preserve">Number of first  appointment DNA’s </w:t>
                  </w:r>
                </w:p>
              </w:tc>
              <w:tc>
                <w:tcPr>
                  <w:tcW w:w="1701" w:type="dxa"/>
                  <w:tcBorders>
                    <w:top w:val="single" w:sz="4" w:space="0" w:color="auto"/>
                    <w:left w:val="single" w:sz="4" w:space="0" w:color="auto"/>
                    <w:bottom w:val="single" w:sz="4" w:space="0" w:color="auto"/>
                    <w:right w:val="single" w:sz="4" w:space="0" w:color="auto"/>
                  </w:tcBorders>
                  <w:hideMark/>
                </w:tcPr>
                <w:p w:rsidR="00493300" w:rsidRDefault="00493300" w:rsidP="00FC67B3">
                  <w:pPr>
                    <w:jc w:val="center"/>
                    <w:rPr>
                      <w:rFonts w:ascii="Arial" w:hAnsi="Arial" w:cs="Arial"/>
                      <w:sz w:val="20"/>
                    </w:rPr>
                  </w:pPr>
                  <w:r>
                    <w:rPr>
                      <w:rFonts w:ascii="Arial" w:hAnsi="Arial" w:cs="Arial"/>
                      <w:sz w:val="20"/>
                    </w:rPr>
                    <w:t>Quarterly</w:t>
                  </w:r>
                </w:p>
              </w:tc>
            </w:tr>
            <w:tr w:rsidR="00493300" w:rsidTr="00FC67B3">
              <w:tc>
                <w:tcPr>
                  <w:tcW w:w="6237" w:type="dxa"/>
                  <w:tcBorders>
                    <w:top w:val="single" w:sz="4" w:space="0" w:color="auto"/>
                    <w:left w:val="single" w:sz="4" w:space="0" w:color="auto"/>
                    <w:bottom w:val="single" w:sz="4" w:space="0" w:color="auto"/>
                    <w:right w:val="single" w:sz="4" w:space="0" w:color="auto"/>
                  </w:tcBorders>
                  <w:hideMark/>
                </w:tcPr>
                <w:p w:rsidR="00493300" w:rsidRDefault="00493300" w:rsidP="00FC67B3">
                  <w:pPr>
                    <w:rPr>
                      <w:rFonts w:ascii="Arial" w:hAnsi="Arial" w:cs="Arial"/>
                      <w:b/>
                      <w:sz w:val="20"/>
                    </w:rPr>
                  </w:pPr>
                  <w:r>
                    <w:rPr>
                      <w:rFonts w:ascii="Arial" w:hAnsi="Arial" w:cs="Arial"/>
                      <w:sz w:val="20"/>
                    </w:rPr>
                    <w:t>Number of patients referred but not attended/treatment not commenced (3 x DNA’s)</w:t>
                  </w:r>
                </w:p>
              </w:tc>
              <w:tc>
                <w:tcPr>
                  <w:tcW w:w="1701" w:type="dxa"/>
                  <w:tcBorders>
                    <w:top w:val="single" w:sz="4" w:space="0" w:color="auto"/>
                    <w:left w:val="single" w:sz="4" w:space="0" w:color="auto"/>
                    <w:bottom w:val="single" w:sz="4" w:space="0" w:color="auto"/>
                    <w:right w:val="single" w:sz="4" w:space="0" w:color="auto"/>
                  </w:tcBorders>
                  <w:hideMark/>
                </w:tcPr>
                <w:p w:rsidR="00493300" w:rsidRDefault="00493300" w:rsidP="00FC67B3">
                  <w:pPr>
                    <w:jc w:val="center"/>
                    <w:rPr>
                      <w:rFonts w:ascii="Arial" w:hAnsi="Arial" w:cs="Arial"/>
                      <w:sz w:val="20"/>
                    </w:rPr>
                  </w:pPr>
                  <w:r>
                    <w:rPr>
                      <w:rFonts w:ascii="Arial" w:hAnsi="Arial" w:cs="Arial"/>
                      <w:sz w:val="20"/>
                    </w:rPr>
                    <w:t>Quarterly</w:t>
                  </w:r>
                </w:p>
              </w:tc>
            </w:tr>
            <w:tr w:rsidR="00493300" w:rsidTr="00FC67B3">
              <w:tc>
                <w:tcPr>
                  <w:tcW w:w="6237" w:type="dxa"/>
                  <w:tcBorders>
                    <w:top w:val="single" w:sz="4" w:space="0" w:color="auto"/>
                    <w:left w:val="single" w:sz="4" w:space="0" w:color="auto"/>
                    <w:bottom w:val="single" w:sz="4" w:space="0" w:color="auto"/>
                    <w:right w:val="single" w:sz="4" w:space="0" w:color="auto"/>
                  </w:tcBorders>
                </w:tcPr>
                <w:p w:rsidR="00493300" w:rsidRDefault="00493300" w:rsidP="00FC67B3">
                  <w:pP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493300" w:rsidRDefault="00493300" w:rsidP="00FC67B3">
                  <w:pPr>
                    <w:jc w:val="center"/>
                    <w:rPr>
                      <w:rFonts w:ascii="Arial" w:hAnsi="Arial" w:cs="Arial"/>
                      <w:sz w:val="20"/>
                    </w:rPr>
                  </w:pPr>
                </w:p>
              </w:tc>
            </w:tr>
          </w:tbl>
          <w:p w:rsidR="00493300" w:rsidRDefault="00493300" w:rsidP="00FC67B3">
            <w:pPr>
              <w:rPr>
                <w:rFonts w:ascii="Arial" w:hAnsi="Arial" w:cs="Arial"/>
                <w:sz w:val="20"/>
              </w:rPr>
            </w:pPr>
          </w:p>
          <w:p w:rsidR="00493300" w:rsidRDefault="00493300" w:rsidP="00FC67B3">
            <w:pPr>
              <w:rPr>
                <w:rFonts w:ascii="Arial" w:hAnsi="Arial" w:cs="Arial"/>
                <w:sz w:val="20"/>
              </w:rPr>
            </w:pPr>
          </w:p>
          <w:p w:rsidR="00493300" w:rsidRDefault="00493300" w:rsidP="00FC67B3">
            <w:pPr>
              <w:pStyle w:val="ListParagraph"/>
              <w:ind w:left="743"/>
              <w:rPr>
                <w:rFonts w:ascii="Arial" w:hAnsi="Arial" w:cs="Arial"/>
                <w:b/>
                <w:color w:val="00B050"/>
                <w:sz w:val="20"/>
                <w:szCs w:val="20"/>
                <w:lang w:eastAsia="ja-JP"/>
              </w:rPr>
            </w:pPr>
          </w:p>
          <w:p w:rsidR="00493300" w:rsidRDefault="00493300" w:rsidP="00493300">
            <w:pPr>
              <w:pStyle w:val="ListParagraph"/>
              <w:numPr>
                <w:ilvl w:val="1"/>
                <w:numId w:val="10"/>
              </w:numPr>
              <w:ind w:left="743" w:hanging="743"/>
              <w:rPr>
                <w:rFonts w:ascii="Arial" w:hAnsi="Arial" w:cs="Arial"/>
                <w:b/>
                <w:color w:val="00B050"/>
                <w:sz w:val="20"/>
                <w:szCs w:val="20"/>
                <w:lang w:eastAsia="ja-JP"/>
              </w:rPr>
            </w:pPr>
            <w:r>
              <w:rPr>
                <w:rFonts w:ascii="Arial" w:hAnsi="Arial" w:cs="Arial"/>
                <w:b/>
                <w:color w:val="00B050"/>
                <w:sz w:val="20"/>
                <w:szCs w:val="20"/>
                <w:lang w:eastAsia="ja-JP"/>
              </w:rPr>
              <w:t>Applicable CQUIN goals (See Schedule 4 Part [E])</w:t>
            </w:r>
          </w:p>
          <w:p w:rsidR="00493300" w:rsidRDefault="00493300" w:rsidP="00FC67B3">
            <w:pPr>
              <w:spacing w:after="0"/>
              <w:rPr>
                <w:rFonts w:ascii="Arial" w:hAnsi="Arial" w:cs="Arial"/>
                <w:color w:val="009966"/>
                <w:sz w:val="20"/>
              </w:rPr>
            </w:pPr>
          </w:p>
          <w:p w:rsidR="00493300" w:rsidRDefault="00493300" w:rsidP="00FC67B3">
            <w:pPr>
              <w:spacing w:after="0"/>
              <w:rPr>
                <w:rFonts w:ascii="Arial" w:hAnsi="Arial" w:cs="Arial"/>
                <w:sz w:val="20"/>
              </w:rPr>
            </w:pPr>
          </w:p>
        </w:tc>
      </w:tr>
      <w:tr w:rsidR="00493300" w:rsidTr="00FC67B3">
        <w:tc>
          <w:tcPr>
            <w:tcW w:w="8556" w:type="dxa"/>
            <w:tcBorders>
              <w:top w:val="single" w:sz="4" w:space="0" w:color="auto"/>
              <w:left w:val="single" w:sz="4" w:space="0" w:color="auto"/>
              <w:bottom w:val="single" w:sz="4" w:space="0" w:color="auto"/>
              <w:right w:val="single" w:sz="4" w:space="0" w:color="auto"/>
            </w:tcBorders>
            <w:shd w:val="clear" w:color="auto" w:fill="595959"/>
            <w:hideMark/>
          </w:tcPr>
          <w:p w:rsidR="00493300" w:rsidRDefault="00493300" w:rsidP="00FC67B3">
            <w:pPr>
              <w:spacing w:after="0" w:line="276" w:lineRule="auto"/>
              <w:rPr>
                <w:rFonts w:ascii="Arial" w:hAnsi="Arial" w:cs="Arial"/>
                <w:b/>
                <w:color w:val="F79646"/>
              </w:rPr>
            </w:pPr>
            <w:r>
              <w:rPr>
                <w:rFonts w:ascii="Arial" w:hAnsi="Arial" w:cs="Arial"/>
                <w:b/>
                <w:color w:val="F79646"/>
              </w:rPr>
              <w:t>6.</w:t>
            </w:r>
            <w:r>
              <w:rPr>
                <w:rFonts w:ascii="Arial" w:hAnsi="Arial" w:cs="Arial"/>
                <w:b/>
                <w:color w:val="F79646"/>
              </w:rPr>
              <w:tab/>
              <w:t>Location of Provider Premises</w:t>
            </w:r>
          </w:p>
        </w:tc>
      </w:tr>
      <w:tr w:rsidR="00493300" w:rsidTr="00FC67B3">
        <w:tc>
          <w:tcPr>
            <w:tcW w:w="8556"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rPr>
                <w:rFonts w:ascii="Arial" w:hAnsi="Arial" w:cs="Arial"/>
                <w:sz w:val="20"/>
              </w:rPr>
            </w:pPr>
          </w:p>
          <w:p w:rsidR="00493300" w:rsidRDefault="00493300" w:rsidP="00FC67B3">
            <w:pPr>
              <w:spacing w:after="0"/>
              <w:rPr>
                <w:rFonts w:ascii="Arial" w:hAnsi="Arial" w:cs="Arial"/>
                <w:b/>
                <w:color w:val="009966"/>
                <w:sz w:val="20"/>
              </w:rPr>
            </w:pPr>
            <w:r>
              <w:rPr>
                <w:rFonts w:ascii="Arial" w:hAnsi="Arial" w:cs="Arial"/>
                <w:b/>
                <w:color w:val="009966"/>
                <w:sz w:val="20"/>
              </w:rPr>
              <w:t>The Provider’s Premises are located at:</w:t>
            </w:r>
          </w:p>
          <w:p w:rsidR="00493300" w:rsidRDefault="00493300" w:rsidP="00FC67B3">
            <w:pPr>
              <w:spacing w:after="0"/>
              <w:rPr>
                <w:rFonts w:ascii="Arial" w:hAnsi="Arial" w:cs="Arial"/>
                <w:b/>
                <w:color w:val="009966"/>
                <w:sz w:val="20"/>
              </w:rPr>
            </w:pPr>
          </w:p>
          <w:p w:rsidR="00493300" w:rsidRDefault="00493300" w:rsidP="00FC67B3">
            <w:pPr>
              <w:spacing w:after="0"/>
              <w:rPr>
                <w:rFonts w:ascii="Arial" w:hAnsi="Arial" w:cs="Arial"/>
                <w:sz w:val="20"/>
              </w:rPr>
            </w:pPr>
            <w:r>
              <w:rPr>
                <w:rFonts w:ascii="Arial" w:hAnsi="Arial" w:cs="Arial"/>
                <w:sz w:val="20"/>
              </w:rPr>
              <w:t>Clinics shall be provided in the community and geographically spread in line with population need and within an accessible location</w:t>
            </w:r>
          </w:p>
          <w:p w:rsidR="00493300" w:rsidRDefault="00493300" w:rsidP="00FC67B3">
            <w:pPr>
              <w:rPr>
                <w:rFonts w:ascii="Arial" w:hAnsi="Arial" w:cs="Arial"/>
                <w:sz w:val="20"/>
              </w:rPr>
            </w:pPr>
            <w:r>
              <w:rPr>
                <w:rFonts w:ascii="Arial" w:hAnsi="Arial" w:cs="Arial"/>
                <w:sz w:val="20"/>
              </w:rPr>
              <w:t xml:space="preserve">Suitability of premises for anticoagulant monitoring will be reviewed on an annual basis. </w:t>
            </w:r>
          </w:p>
          <w:p w:rsidR="00493300" w:rsidRDefault="00493300" w:rsidP="00FC67B3">
            <w:pPr>
              <w:rPr>
                <w:rFonts w:ascii="Arial" w:hAnsi="Arial" w:cs="Arial"/>
                <w:sz w:val="20"/>
              </w:rPr>
            </w:pPr>
            <w:r>
              <w:rPr>
                <w:rFonts w:ascii="Arial" w:hAnsi="Arial" w:cs="Arial"/>
                <w:sz w:val="20"/>
              </w:rPr>
              <w:t>The following criteria must be met:</w:t>
            </w:r>
          </w:p>
          <w:p w:rsidR="00493300" w:rsidRDefault="00493300" w:rsidP="00493300">
            <w:pPr>
              <w:numPr>
                <w:ilvl w:val="0"/>
                <w:numId w:val="11"/>
              </w:numPr>
              <w:spacing w:after="0"/>
              <w:rPr>
                <w:rFonts w:ascii="Arial" w:hAnsi="Arial" w:cs="Arial"/>
                <w:sz w:val="20"/>
              </w:rPr>
            </w:pPr>
            <w:r>
              <w:rPr>
                <w:rFonts w:ascii="Arial" w:hAnsi="Arial" w:cs="Arial"/>
                <w:sz w:val="20"/>
              </w:rPr>
              <w:t xml:space="preserve">The consulting room must be private and large enough for all necessary equipment, with the patient and service provider to sit down together and talk at normal speaking volumes without being overheard. </w:t>
            </w:r>
          </w:p>
          <w:p w:rsidR="00493300" w:rsidRDefault="00493300" w:rsidP="00493300">
            <w:pPr>
              <w:numPr>
                <w:ilvl w:val="0"/>
                <w:numId w:val="11"/>
              </w:numPr>
              <w:spacing w:after="0"/>
              <w:rPr>
                <w:rFonts w:ascii="Arial" w:hAnsi="Arial" w:cs="Arial"/>
                <w:sz w:val="20"/>
              </w:rPr>
            </w:pPr>
            <w:r>
              <w:rPr>
                <w:rFonts w:ascii="Arial" w:hAnsi="Arial" w:cs="Arial"/>
                <w:sz w:val="20"/>
              </w:rPr>
              <w:t xml:space="preserve">The consulting room must be fitted with the following: </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 xml:space="preserve">Sink with hot and cold running water </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Wipe Down Surfaces</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Flooring non-slip blood spillage compliant</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lastRenderedPageBreak/>
              <w:t>Fridge that meets laboratory storage standards(within premises)</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 xml:space="preserve">Electrical power points and wiring for computer and internet access </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 xml:space="preserve">Computer terminal (or laptop), filing </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Suitable lighting, desk and seating</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Secure storage facilities</w:t>
            </w:r>
          </w:p>
          <w:p w:rsidR="00493300" w:rsidRDefault="00493300" w:rsidP="00493300">
            <w:pPr>
              <w:numPr>
                <w:ilvl w:val="0"/>
                <w:numId w:val="11"/>
              </w:numPr>
              <w:spacing w:after="0"/>
              <w:rPr>
                <w:rFonts w:ascii="Arial" w:hAnsi="Arial" w:cs="Arial"/>
                <w:sz w:val="20"/>
              </w:rPr>
            </w:pPr>
            <w:r>
              <w:rPr>
                <w:rFonts w:ascii="Arial" w:hAnsi="Arial" w:cs="Arial"/>
                <w:sz w:val="20"/>
              </w:rPr>
              <w:t>The premises must be maintained in a clean and tidy condition</w:t>
            </w:r>
          </w:p>
          <w:p w:rsidR="00493300" w:rsidRDefault="00493300" w:rsidP="00493300">
            <w:pPr>
              <w:numPr>
                <w:ilvl w:val="0"/>
                <w:numId w:val="11"/>
              </w:numPr>
              <w:spacing w:after="0"/>
              <w:rPr>
                <w:rFonts w:ascii="Arial" w:hAnsi="Arial" w:cs="Arial"/>
                <w:sz w:val="20"/>
              </w:rPr>
            </w:pPr>
            <w:r>
              <w:rPr>
                <w:rFonts w:ascii="Arial" w:hAnsi="Arial" w:cs="Arial"/>
                <w:sz w:val="20"/>
              </w:rPr>
              <w:t>There must be sufficient seating for patients whilst they are waiting to be seen at the clinic</w:t>
            </w:r>
          </w:p>
          <w:p w:rsidR="00493300" w:rsidRDefault="00493300" w:rsidP="00493300">
            <w:pPr>
              <w:numPr>
                <w:ilvl w:val="0"/>
                <w:numId w:val="11"/>
              </w:numPr>
              <w:spacing w:after="0"/>
              <w:rPr>
                <w:rFonts w:ascii="Arial" w:hAnsi="Arial" w:cs="Arial"/>
                <w:sz w:val="20"/>
              </w:rPr>
            </w:pPr>
            <w:r>
              <w:rPr>
                <w:rFonts w:ascii="Arial" w:hAnsi="Arial" w:cs="Arial"/>
                <w:sz w:val="20"/>
              </w:rPr>
              <w:t>Disabled/Wheelchair access in waiting area and consulting room</w:t>
            </w:r>
          </w:p>
          <w:p w:rsidR="00493300" w:rsidRDefault="00493300" w:rsidP="00493300">
            <w:pPr>
              <w:numPr>
                <w:ilvl w:val="0"/>
                <w:numId w:val="11"/>
              </w:numPr>
              <w:spacing w:after="0"/>
              <w:rPr>
                <w:rFonts w:ascii="Arial" w:hAnsi="Arial" w:cs="Arial"/>
                <w:sz w:val="20"/>
              </w:rPr>
            </w:pPr>
            <w:r>
              <w:rPr>
                <w:rFonts w:ascii="Arial" w:hAnsi="Arial" w:cs="Arial"/>
                <w:sz w:val="20"/>
              </w:rPr>
              <w:t>Each provider will need to show evidence of a strategy for covering anticoagulant clinics and urgent tests in the event of:</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Annual leave</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Study leave</w:t>
            </w:r>
          </w:p>
          <w:p w:rsidR="00493300" w:rsidRDefault="00493300" w:rsidP="00493300">
            <w:pPr>
              <w:numPr>
                <w:ilvl w:val="0"/>
                <w:numId w:val="11"/>
              </w:numPr>
              <w:tabs>
                <w:tab w:val="clear" w:pos="644"/>
                <w:tab w:val="num" w:pos="1800"/>
              </w:tabs>
              <w:spacing w:after="0"/>
              <w:ind w:left="1800"/>
              <w:rPr>
                <w:rFonts w:ascii="Arial" w:hAnsi="Arial" w:cs="Arial"/>
                <w:sz w:val="20"/>
              </w:rPr>
            </w:pPr>
            <w:r>
              <w:rPr>
                <w:rFonts w:ascii="Arial" w:hAnsi="Arial" w:cs="Arial"/>
                <w:sz w:val="20"/>
              </w:rPr>
              <w:t>Sick Leave</w:t>
            </w:r>
          </w:p>
          <w:p w:rsidR="00493300" w:rsidRDefault="00493300" w:rsidP="00FC67B3">
            <w:pPr>
              <w:spacing w:after="0"/>
              <w:rPr>
                <w:rFonts w:ascii="Arial" w:hAnsi="Arial" w:cs="Arial"/>
                <w:sz w:val="20"/>
              </w:rPr>
            </w:pPr>
          </w:p>
        </w:tc>
      </w:tr>
      <w:tr w:rsidR="00493300" w:rsidTr="00FC67B3">
        <w:tc>
          <w:tcPr>
            <w:tcW w:w="8556" w:type="dxa"/>
            <w:tcBorders>
              <w:top w:val="single" w:sz="4" w:space="0" w:color="auto"/>
              <w:left w:val="single" w:sz="4" w:space="0" w:color="auto"/>
              <w:bottom w:val="single" w:sz="4" w:space="0" w:color="auto"/>
              <w:right w:val="single" w:sz="4" w:space="0" w:color="auto"/>
            </w:tcBorders>
            <w:shd w:val="clear" w:color="auto" w:fill="009966"/>
            <w:hideMark/>
          </w:tcPr>
          <w:p w:rsidR="00493300" w:rsidRDefault="00493300" w:rsidP="00FC67B3">
            <w:pPr>
              <w:spacing w:after="0" w:line="276" w:lineRule="auto"/>
              <w:rPr>
                <w:rFonts w:ascii="Arial" w:hAnsi="Arial" w:cs="Arial"/>
                <w:b/>
                <w:color w:val="FFFFFF"/>
              </w:rPr>
            </w:pPr>
            <w:r>
              <w:rPr>
                <w:rFonts w:ascii="Arial" w:hAnsi="Arial" w:cs="Arial"/>
                <w:b/>
                <w:color w:val="FFFFFF"/>
              </w:rPr>
              <w:lastRenderedPageBreak/>
              <w:t>7.</w:t>
            </w:r>
            <w:r>
              <w:rPr>
                <w:rFonts w:ascii="Arial" w:hAnsi="Arial" w:cs="Arial"/>
                <w:b/>
                <w:color w:val="FFFFFF"/>
              </w:rPr>
              <w:tab/>
              <w:t>Individual Service User Placement</w:t>
            </w:r>
          </w:p>
        </w:tc>
      </w:tr>
      <w:tr w:rsidR="00493300" w:rsidTr="00FC67B3">
        <w:tc>
          <w:tcPr>
            <w:tcW w:w="8556" w:type="dxa"/>
            <w:tcBorders>
              <w:top w:val="single" w:sz="4" w:space="0" w:color="auto"/>
              <w:left w:val="single" w:sz="4" w:space="0" w:color="auto"/>
              <w:bottom w:val="single" w:sz="4" w:space="0" w:color="auto"/>
              <w:right w:val="single" w:sz="4" w:space="0" w:color="auto"/>
            </w:tcBorders>
          </w:tcPr>
          <w:p w:rsidR="00493300" w:rsidRDefault="00493300" w:rsidP="00FC67B3">
            <w:pPr>
              <w:spacing w:after="0"/>
              <w:rPr>
                <w:rFonts w:ascii="Arial" w:hAnsi="Arial" w:cs="Arial"/>
                <w:sz w:val="20"/>
              </w:rPr>
            </w:pPr>
          </w:p>
          <w:p w:rsidR="00493300" w:rsidRDefault="00493300" w:rsidP="00FC67B3">
            <w:pPr>
              <w:spacing w:after="0"/>
              <w:rPr>
                <w:rFonts w:ascii="Arial" w:hAnsi="Arial" w:cs="Arial"/>
                <w:b/>
                <w:color w:val="009966"/>
                <w:sz w:val="20"/>
              </w:rPr>
            </w:pPr>
            <w:r>
              <w:rPr>
                <w:rFonts w:ascii="Arial" w:hAnsi="Arial" w:cs="Arial"/>
                <w:b/>
                <w:color w:val="009966"/>
                <w:sz w:val="20"/>
              </w:rPr>
              <w:t>7.1 Financial Summary</w:t>
            </w:r>
            <w:r>
              <w:rPr>
                <w:rFonts w:ascii="Arial" w:hAnsi="Arial" w:cs="Arial"/>
                <w:i/>
                <w:color w:val="FF0000"/>
              </w:rPr>
              <w:t xml:space="preserve"> </w:t>
            </w:r>
          </w:p>
          <w:p w:rsidR="00493300" w:rsidRDefault="00493300" w:rsidP="00FC67B3">
            <w:pPr>
              <w:spacing w:after="0"/>
              <w:rPr>
                <w:rFonts w:ascii="Arial" w:hAnsi="Arial" w:cs="Arial"/>
                <w:b/>
                <w:sz w:val="20"/>
              </w:rPr>
            </w:pPr>
            <w:r>
              <w:rPr>
                <w:rFonts w:ascii="Arial" w:hAnsi="Arial" w:cs="Arial"/>
                <w:b/>
                <w:sz w:val="20"/>
              </w:rPr>
              <w:t xml:space="preserve"> </w:t>
            </w:r>
          </w:p>
          <w:p w:rsidR="00493300" w:rsidRDefault="00493300" w:rsidP="00FC67B3">
            <w:pPr>
              <w:spacing w:after="0"/>
              <w:rPr>
                <w:rFonts w:ascii="Arial" w:hAnsi="Arial" w:cs="Arial"/>
                <w:color w:val="000000" w:themeColor="text1"/>
                <w:sz w:val="20"/>
              </w:rPr>
            </w:pPr>
            <w:r>
              <w:rPr>
                <w:rFonts w:ascii="Arial" w:hAnsi="Arial" w:cs="Arial"/>
                <w:color w:val="000000" w:themeColor="text1"/>
                <w:sz w:val="20"/>
              </w:rPr>
              <w:t>A single payment of £30 will be made to the provider on a monthly basis for each new patient referred to this service on attendance of a first appointment. All further/follow up appointments will be included in the service payment scheme aligned to the main anticoagulant service specification (see below).</w:t>
            </w:r>
          </w:p>
          <w:p w:rsidR="00493300" w:rsidRDefault="00493300" w:rsidP="00FC67B3">
            <w:pPr>
              <w:jc w:val="both"/>
              <w:rPr>
                <w:rFonts w:ascii="Arial" w:hAnsi="Arial"/>
                <w:b/>
                <w:sz w:val="20"/>
              </w:rPr>
            </w:pPr>
            <w:r>
              <w:rPr>
                <w:rFonts w:ascii="Arial" w:hAnsi="Arial"/>
                <w:b/>
                <w:sz w:val="20"/>
              </w:rPr>
              <w:t xml:space="preserve">Appropriate discharge: </w:t>
            </w:r>
            <w:r>
              <w:rPr>
                <w:rFonts w:ascii="Arial" w:hAnsi="Arial"/>
                <w:sz w:val="20"/>
              </w:rPr>
              <w:t>The provider will be responsible for assuring that patients are registered and discharged on the CDSS (clinical decision support software), DAWN in the appropriate clinic.</w:t>
            </w:r>
          </w:p>
          <w:p w:rsidR="00493300" w:rsidRDefault="00493300" w:rsidP="00FC67B3">
            <w:pPr>
              <w:spacing w:after="0"/>
              <w:rPr>
                <w:rFonts w:ascii="Arial" w:hAnsi="Arial" w:cs="Arial"/>
                <w:b/>
                <w:i/>
                <w:sz w:val="20"/>
              </w:rPr>
            </w:pPr>
            <w:r>
              <w:rPr>
                <w:rFonts w:ascii="Arial" w:hAnsi="Arial" w:cs="Arial"/>
                <w:b/>
                <w:i/>
                <w:sz w:val="20"/>
              </w:rPr>
              <w:t>Clinic attendances – warfarin patients/INR monitoring</w:t>
            </w:r>
          </w:p>
          <w:p w:rsidR="00493300" w:rsidRDefault="00493300" w:rsidP="00FC67B3">
            <w:pPr>
              <w:spacing w:after="0"/>
              <w:rPr>
                <w:rFonts w:ascii="Arial" w:hAnsi="Arial" w:cs="Arial"/>
                <w:b/>
                <w:i/>
                <w:sz w:val="20"/>
              </w:rPr>
            </w:pPr>
          </w:p>
          <w:p w:rsidR="00493300" w:rsidRDefault="00493300" w:rsidP="00FC67B3">
            <w:pPr>
              <w:rPr>
                <w:rFonts w:ascii="Arial" w:hAnsi="Arial" w:cs="Arial"/>
                <w:i/>
                <w:color w:val="FF0000"/>
              </w:rPr>
            </w:pPr>
            <w:r>
              <w:rPr>
                <w:rFonts w:ascii="Arial" w:hAnsi="Arial" w:cs="Arial"/>
                <w:i/>
                <w:sz w:val="20"/>
              </w:rPr>
              <w:t xml:space="preserve">There will be an annual payment of £249.54 per patient actively attending a community based clinic. This incorporates the cost of test strips and controls based on an average attendance of 14 tests per annum. Providers will invoice the CCG (and include the activity statement) at the end of each calendar month in line with patients registered and actively attending their community based INR monitoring clinic sites at that time (£20.79 per patient). </w:t>
            </w:r>
          </w:p>
          <w:p w:rsidR="00493300" w:rsidRDefault="00493300" w:rsidP="00FC67B3">
            <w:pPr>
              <w:rPr>
                <w:rFonts w:ascii="Arial" w:hAnsi="Arial" w:cs="Arial"/>
                <w:b/>
                <w:i/>
                <w:sz w:val="20"/>
              </w:rPr>
            </w:pPr>
            <w:r>
              <w:rPr>
                <w:rFonts w:ascii="Arial" w:hAnsi="Arial" w:cs="Arial"/>
                <w:b/>
                <w:i/>
                <w:sz w:val="20"/>
              </w:rPr>
              <w:t xml:space="preserve">One Month Follow –up – NOAC Patients </w:t>
            </w:r>
          </w:p>
          <w:p w:rsidR="00493300" w:rsidRDefault="00493300" w:rsidP="00FC67B3">
            <w:pPr>
              <w:rPr>
                <w:rFonts w:ascii="Arial" w:hAnsi="Arial" w:cs="Arial"/>
                <w:i/>
                <w:sz w:val="20"/>
              </w:rPr>
            </w:pPr>
            <w:r>
              <w:rPr>
                <w:rFonts w:ascii="Arial" w:hAnsi="Arial" w:cs="Arial"/>
                <w:i/>
                <w:sz w:val="20"/>
              </w:rPr>
              <w:t>To support patient understanding and compliance, to also assess any potential side effects, providers will invoice the CCG (and include the activity statement) at end of each calendar month in line with patients who have kept the second appointment with the provider (£15). Patients in this group will be discharged back into care of their own GP after this second appointment.</w:t>
            </w:r>
          </w:p>
          <w:p w:rsidR="00493300" w:rsidRDefault="00493300" w:rsidP="00FC67B3">
            <w:pPr>
              <w:rPr>
                <w:rFonts w:ascii="Arial" w:hAnsi="Arial" w:cs="Arial"/>
                <w:b/>
                <w:i/>
                <w:sz w:val="20"/>
              </w:rPr>
            </w:pPr>
            <w:r>
              <w:rPr>
                <w:rFonts w:ascii="Arial" w:hAnsi="Arial" w:cs="Arial"/>
                <w:b/>
                <w:i/>
                <w:sz w:val="20"/>
              </w:rPr>
              <w:t>Domiciliary attendances</w:t>
            </w:r>
          </w:p>
          <w:p w:rsidR="00493300" w:rsidRDefault="00493300" w:rsidP="00FC67B3">
            <w:pPr>
              <w:tabs>
                <w:tab w:val="left" w:pos="540"/>
              </w:tabs>
              <w:rPr>
                <w:rFonts w:ascii="Arial" w:hAnsi="Arial" w:cs="Arial"/>
                <w:sz w:val="20"/>
              </w:rPr>
            </w:pPr>
            <w:r>
              <w:rPr>
                <w:rFonts w:ascii="Arial" w:hAnsi="Arial" w:cs="Arial"/>
                <w:i/>
                <w:sz w:val="20"/>
              </w:rPr>
              <w:t>An annual payment of £615.98 per patient actively registered as receiving domiciliary visits. This will incorporate the cost of test strips and controls and be based on an average attendance of 16 tests per annum. Providers will be invoiced at the end of each calendar month in line with patients registered and actively having INR monitoring at that time (51.33 per patient).</w:t>
            </w:r>
          </w:p>
        </w:tc>
      </w:tr>
    </w:tbl>
    <w:p w:rsidR="000B351C" w:rsidRDefault="000B351C"/>
    <w:sectPr w:rsidR="000B3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F0A76"/>
    <w:multiLevelType w:val="multilevel"/>
    <w:tmpl w:val="FCC4AAE8"/>
    <w:lvl w:ilvl="0">
      <w:start w:val="1"/>
      <w:numFmt w:val="bullet"/>
      <w:lvlText w:val=""/>
      <w:lvlJc w:val="left"/>
      <w:pPr>
        <w:tabs>
          <w:tab w:val="num" w:pos="659"/>
        </w:tabs>
        <w:ind w:left="659" w:hanging="375"/>
      </w:pPr>
      <w:rPr>
        <w:rFonts w:ascii="Symbol" w:hAnsi="Symbol" w:hint="default"/>
      </w:rPr>
    </w:lvl>
    <w:lvl w:ilvl="1">
      <w:start w:val="1"/>
      <w:numFmt w:val="bullet"/>
      <w:lvlText w:val="o"/>
      <w:lvlJc w:val="left"/>
      <w:pPr>
        <w:tabs>
          <w:tab w:val="num" w:pos="1667"/>
        </w:tabs>
        <w:ind w:left="1667" w:hanging="360"/>
      </w:pPr>
      <w:rPr>
        <w:rFonts w:ascii="Courier New" w:hAnsi="Courier New" w:cs="Times New Roman"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Times New Roman"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Times New Roman" w:hint="default"/>
      </w:rPr>
    </w:lvl>
    <w:lvl w:ilvl="8">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22F36AC4"/>
    <w:multiLevelType w:val="hybridMultilevel"/>
    <w:tmpl w:val="6B808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DD72421"/>
    <w:multiLevelType w:val="singleLevel"/>
    <w:tmpl w:val="A566A900"/>
    <w:lvl w:ilvl="0">
      <w:start w:val="1"/>
      <w:numFmt w:val="bullet"/>
      <w:lvlText w:val=""/>
      <w:lvlJc w:val="left"/>
      <w:pPr>
        <w:tabs>
          <w:tab w:val="num" w:pos="644"/>
        </w:tabs>
        <w:ind w:left="644" w:hanging="360"/>
      </w:pPr>
      <w:rPr>
        <w:rFonts w:ascii="Symbol" w:hAnsi="Symbol" w:hint="default"/>
      </w:rPr>
    </w:lvl>
  </w:abstractNum>
  <w:abstractNum w:abstractNumId="5" w15:restartNumberingAfterBreak="0">
    <w:nsid w:val="3E9052C8"/>
    <w:multiLevelType w:val="hybridMultilevel"/>
    <w:tmpl w:val="F732C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0260CA"/>
    <w:multiLevelType w:val="hybridMultilevel"/>
    <w:tmpl w:val="CD444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562294"/>
    <w:multiLevelType w:val="hybridMultilevel"/>
    <w:tmpl w:val="66148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2C3B7D"/>
    <w:multiLevelType w:val="hybridMultilevel"/>
    <w:tmpl w:val="AFD87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633431"/>
    <w:multiLevelType w:val="multilevel"/>
    <w:tmpl w:val="D5B86D2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C285AA1"/>
    <w:multiLevelType w:val="hybridMultilevel"/>
    <w:tmpl w:val="5C22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
  </w:num>
  <w:num w:numId="6">
    <w:abstractNumId w:val="6"/>
  </w:num>
  <w:num w:numId="7">
    <w:abstractNumId w:val="7"/>
  </w:num>
  <w:num w:numId="8">
    <w:abstractNumId w:val="10"/>
  </w:num>
  <w:num w:numId="9">
    <w:abstractNumId w:val="1"/>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0"/>
    <w:rsid w:val="000B351C"/>
    <w:rsid w:val="0049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B3322-586C-47AB-BFC8-8BA1A1A5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0"/>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493300"/>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300"/>
    <w:rPr>
      <w:rFonts w:ascii="Arial" w:eastAsiaTheme="minorEastAsia" w:hAnsi="Arial" w:cs="Arial"/>
      <w:b/>
      <w:sz w:val="28"/>
      <w:szCs w:val="28"/>
    </w:rPr>
  </w:style>
  <w:style w:type="character" w:styleId="Hyperlink">
    <w:name w:val="Hyperlink"/>
    <w:uiPriority w:val="99"/>
    <w:unhideWhenUsed/>
    <w:rsid w:val="00493300"/>
    <w:rPr>
      <w:color w:val="0000FF"/>
      <w:u w:val="single"/>
    </w:rPr>
  </w:style>
  <w:style w:type="table" w:styleId="TableGrid">
    <w:name w:val="Table Grid"/>
    <w:basedOn w:val="TableNormal"/>
    <w:uiPriority w:val="59"/>
    <w:rsid w:val="004933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493300"/>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49330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ls.npsa.nhs.uk/resources/?entryid45=61790&amp;q=0%c2%acanticoagulant%c2%ac" TargetMode="External"/><Relationship Id="rId3" Type="http://schemas.openxmlformats.org/officeDocument/2006/relationships/settings" Target="settings.xml"/><Relationship Id="rId7" Type="http://schemas.openxmlformats.org/officeDocument/2006/relationships/hyperlink" Target="https://www.nice.org.uk/resource/CG180/pdf/c/cg180-atrial-fibrillation-nic-consensus-statement-on-the-use-of-noacs?id=gvyb3hjdqrcjtn6ytpwx3ydb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CG180" TargetMode="External"/><Relationship Id="rId11" Type="http://schemas.openxmlformats.org/officeDocument/2006/relationships/theme" Target="theme/theme1.xml"/><Relationship Id="rId5" Type="http://schemas.openxmlformats.org/officeDocument/2006/relationships/hyperlink" Target="http://nice.org.uk/guidance/cmg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shguidelines.com/documents/safety_indicators_oral_anti_coag_bjh_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Aujla, Harwinder - Contracts Co-ordinator</dc:creator>
  <cp:keywords/>
  <dc:description/>
  <cp:lastModifiedBy>Aujla, Harwinder - Contracts Co-ordinator</cp:lastModifiedBy>
  <cp:revision>1</cp:revision>
  <dcterms:created xsi:type="dcterms:W3CDTF">2022-03-11T18:54:00Z</dcterms:created>
  <dcterms:modified xsi:type="dcterms:W3CDTF">2022-03-11T18:55:00Z</dcterms:modified>
</cp:coreProperties>
</file>